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charts/chart10.xml" ContentType="application/vnd.openxmlformats-officedocument.drawingml.chart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drawings/drawing1.xml" ContentType="application/vnd.openxmlformats-officedocument.drawingml.chartshape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chart11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5772" w:rsidRPr="00796931" w:rsidRDefault="00945772" w:rsidP="00796931">
      <w:pPr>
        <w:pStyle w:val="Heading6"/>
        <w:bidi w:val="0"/>
        <w:rPr>
          <w:b w:val="0"/>
          <w:bCs w:val="0"/>
          <w:color w:val="000000" w:themeColor="text1"/>
          <w:sz w:val="24"/>
          <w:szCs w:val="24"/>
        </w:rPr>
      </w:pPr>
      <w:r w:rsidRPr="00796931">
        <w:rPr>
          <w:b w:val="0"/>
          <w:bCs w:val="0"/>
          <w:color w:val="000000" w:themeColor="text1"/>
          <w:sz w:val="24"/>
          <w:szCs w:val="24"/>
        </w:rPr>
        <w:t>Chapter Two</w:t>
      </w:r>
    </w:p>
    <w:p w:rsidR="00945772" w:rsidRPr="003253B0" w:rsidRDefault="00945772" w:rsidP="00796931">
      <w:pPr>
        <w:rPr>
          <w:color w:val="000000" w:themeColor="text1"/>
          <w:sz w:val="24"/>
          <w:szCs w:val="24"/>
        </w:rPr>
      </w:pPr>
    </w:p>
    <w:p w:rsidR="002F57CD" w:rsidRPr="003253B0" w:rsidRDefault="002F57CD" w:rsidP="00796931">
      <w:pPr>
        <w:pStyle w:val="Heading6"/>
        <w:bidi w:val="0"/>
        <w:rPr>
          <w:color w:val="000000" w:themeColor="text1"/>
          <w:sz w:val="24"/>
          <w:szCs w:val="24"/>
        </w:rPr>
      </w:pPr>
      <w:r w:rsidRPr="003253B0">
        <w:rPr>
          <w:color w:val="000000" w:themeColor="text1"/>
          <w:sz w:val="24"/>
          <w:szCs w:val="24"/>
        </w:rPr>
        <w:t>Summary</w:t>
      </w:r>
    </w:p>
    <w:p w:rsidR="002F57CD" w:rsidRPr="00796931" w:rsidRDefault="002F57CD" w:rsidP="00796931">
      <w:pPr>
        <w:ind w:left="288"/>
        <w:jc w:val="both"/>
        <w:rPr>
          <w:rFonts w:cs="Traditional Arabic"/>
          <w:b/>
          <w:bCs/>
          <w:color w:val="FF0000"/>
        </w:rPr>
      </w:pPr>
    </w:p>
    <w:p w:rsidR="00E77384" w:rsidRPr="00C21A27" w:rsidRDefault="00E77384" w:rsidP="00796931">
      <w:pPr>
        <w:pStyle w:val="BodyTextIndent"/>
        <w:tabs>
          <w:tab w:val="num" w:pos="0"/>
        </w:tabs>
        <w:bidi w:val="0"/>
        <w:ind w:firstLine="0"/>
        <w:jc w:val="both"/>
        <w:rPr>
          <w:b/>
          <w:bCs/>
          <w:color w:val="000000" w:themeColor="text1"/>
        </w:rPr>
      </w:pPr>
      <w:r w:rsidRPr="00C21A27">
        <w:rPr>
          <w:b/>
          <w:bCs/>
          <w:color w:val="000000" w:themeColor="text1"/>
        </w:rPr>
        <w:t>Population</w:t>
      </w:r>
    </w:p>
    <w:p w:rsidR="00530FFA" w:rsidRPr="00796931" w:rsidRDefault="00530FFA" w:rsidP="00796931">
      <w:pPr>
        <w:pStyle w:val="BodyText2"/>
        <w:numPr>
          <w:ilvl w:val="0"/>
          <w:numId w:val="15"/>
        </w:numPr>
        <w:tabs>
          <w:tab w:val="left" w:pos="284"/>
        </w:tabs>
        <w:bidi w:val="0"/>
        <w:spacing w:before="80"/>
        <w:ind w:left="284" w:hanging="284"/>
        <w:rPr>
          <w:rFonts w:cs="Times New Roman"/>
          <w:color w:val="000000" w:themeColor="text1"/>
        </w:rPr>
      </w:pPr>
      <w:r w:rsidRPr="00796931">
        <w:rPr>
          <w:rFonts w:cs="Times New Roman"/>
          <w:color w:val="000000" w:themeColor="text1"/>
        </w:rPr>
        <w:t xml:space="preserve">The total estimated population of </w:t>
      </w:r>
      <w:r w:rsidR="009D489E" w:rsidRPr="00796931">
        <w:rPr>
          <w:rFonts w:cs="Times New Roman"/>
          <w:color w:val="000000" w:themeColor="text1"/>
        </w:rPr>
        <w:t xml:space="preserve">Jerusalem Governorate </w:t>
      </w:r>
      <w:r w:rsidRPr="00796931">
        <w:rPr>
          <w:rFonts w:cs="Times New Roman"/>
          <w:color w:val="000000" w:themeColor="text1"/>
        </w:rPr>
        <w:t>in mid-2016 is 426,533 persons</w:t>
      </w:r>
      <w:r w:rsidR="00D67B63" w:rsidRPr="00796931">
        <w:rPr>
          <w:rFonts w:cs="Times New Roman"/>
          <w:color w:val="000000" w:themeColor="text1"/>
        </w:rPr>
        <w:t>:</w:t>
      </w:r>
      <w:r w:rsidRPr="00796931">
        <w:rPr>
          <w:rFonts w:cs="Times New Roman"/>
          <w:color w:val="000000" w:themeColor="text1"/>
        </w:rPr>
        <w:t xml:space="preserve"> </w:t>
      </w:r>
      <w:r w:rsidR="00D67B63" w:rsidRPr="00796931">
        <w:rPr>
          <w:rFonts w:cs="Times New Roman"/>
          <w:color w:val="000000" w:themeColor="text1"/>
        </w:rPr>
        <w:t>216,748 males and 209,785 females</w:t>
      </w:r>
      <w:r w:rsidRPr="00796931">
        <w:rPr>
          <w:rFonts w:cs="Times New Roman"/>
          <w:color w:val="000000" w:themeColor="text1"/>
        </w:rPr>
        <w:t xml:space="preserve">. The population in </w:t>
      </w:r>
      <w:r w:rsidR="009D489E" w:rsidRPr="00796931">
        <w:rPr>
          <w:rFonts w:cs="Times New Roman"/>
          <w:color w:val="000000" w:themeColor="text1"/>
        </w:rPr>
        <w:t xml:space="preserve">Jerusalem Governorate </w:t>
      </w:r>
      <w:r w:rsidRPr="00796931">
        <w:rPr>
          <w:rFonts w:cs="Times New Roman"/>
          <w:color w:val="000000" w:themeColor="text1"/>
        </w:rPr>
        <w:t xml:space="preserve">constitutes 8.9% of the total population of Palestine and 14.5% of the population of the West Bank. </w:t>
      </w:r>
    </w:p>
    <w:p w:rsidR="00530FFA" w:rsidRPr="00796931" w:rsidRDefault="00530FFA" w:rsidP="0024250E">
      <w:pPr>
        <w:pStyle w:val="BodyText2"/>
        <w:numPr>
          <w:ilvl w:val="0"/>
          <w:numId w:val="15"/>
        </w:numPr>
        <w:tabs>
          <w:tab w:val="left" w:pos="284"/>
        </w:tabs>
        <w:bidi w:val="0"/>
        <w:spacing w:before="80"/>
        <w:ind w:left="284" w:hanging="284"/>
        <w:rPr>
          <w:rFonts w:cs="Times New Roman"/>
          <w:color w:val="000000" w:themeColor="text1"/>
        </w:rPr>
      </w:pPr>
      <w:r w:rsidRPr="00796931">
        <w:rPr>
          <w:rFonts w:cs="Times New Roman"/>
          <w:color w:val="000000" w:themeColor="text1"/>
        </w:rPr>
        <w:t xml:space="preserve">The sex ratio in </w:t>
      </w:r>
      <w:r w:rsidR="009D489E" w:rsidRPr="00796931">
        <w:rPr>
          <w:rFonts w:cs="Times New Roman"/>
          <w:color w:val="000000" w:themeColor="text1"/>
        </w:rPr>
        <w:t xml:space="preserve">Jerusalem Governorate </w:t>
      </w:r>
      <w:r w:rsidRPr="00796931">
        <w:rPr>
          <w:rFonts w:cs="Times New Roman"/>
          <w:color w:val="000000" w:themeColor="text1"/>
        </w:rPr>
        <w:t>in mid-</w:t>
      </w:r>
      <w:r w:rsidR="00290794" w:rsidRPr="00796931">
        <w:rPr>
          <w:rFonts w:cs="Times New Roman"/>
          <w:color w:val="000000" w:themeColor="text1"/>
        </w:rPr>
        <w:t>2016</w:t>
      </w:r>
      <w:r w:rsidRPr="00796931">
        <w:rPr>
          <w:rFonts w:cs="Times New Roman"/>
          <w:color w:val="000000" w:themeColor="text1"/>
        </w:rPr>
        <w:t xml:space="preserve"> was 103.</w:t>
      </w:r>
      <w:r w:rsidR="00484A54" w:rsidRPr="00796931">
        <w:rPr>
          <w:rFonts w:cs="Times New Roman"/>
          <w:color w:val="000000" w:themeColor="text1"/>
        </w:rPr>
        <w:t>3</w:t>
      </w:r>
      <w:r w:rsidRPr="00796931">
        <w:rPr>
          <w:rFonts w:cs="Times New Roman"/>
          <w:color w:val="000000" w:themeColor="text1"/>
        </w:rPr>
        <w:t xml:space="preserve"> males per hundred females, and is the same in both</w:t>
      </w:r>
      <w:r w:rsidR="009B7C4B" w:rsidRPr="00796931">
        <w:rPr>
          <w:rFonts w:cs="Times New Roman"/>
          <w:color w:val="000000" w:themeColor="text1"/>
        </w:rPr>
        <w:t>,</w:t>
      </w:r>
      <w:r w:rsidRPr="00796931">
        <w:rPr>
          <w:rFonts w:cs="Times New Roman"/>
          <w:color w:val="000000" w:themeColor="text1"/>
        </w:rPr>
        <w:t xml:space="preserve"> the West Bank and Gaza Strip.</w:t>
      </w:r>
    </w:p>
    <w:p w:rsidR="00E354D3" w:rsidRPr="00796931" w:rsidRDefault="00E77384" w:rsidP="00796931">
      <w:pPr>
        <w:pStyle w:val="BodyText2"/>
        <w:numPr>
          <w:ilvl w:val="0"/>
          <w:numId w:val="15"/>
        </w:numPr>
        <w:tabs>
          <w:tab w:val="left" w:pos="284"/>
        </w:tabs>
        <w:bidi w:val="0"/>
        <w:spacing w:before="80"/>
        <w:ind w:left="284" w:hanging="284"/>
        <w:rPr>
          <w:rFonts w:cs="Times New Roman"/>
          <w:color w:val="000000" w:themeColor="text1"/>
        </w:rPr>
      </w:pPr>
      <w:r w:rsidRPr="00796931">
        <w:rPr>
          <w:rFonts w:cs="Times New Roman"/>
          <w:color w:val="000000" w:themeColor="text1"/>
        </w:rPr>
        <w:t>In 2013,</w:t>
      </w:r>
      <w:r w:rsidR="007233E1" w:rsidRPr="00796931">
        <w:rPr>
          <w:rFonts w:cs="Times New Roman"/>
          <w:color w:val="000000" w:themeColor="text1"/>
        </w:rPr>
        <w:t xml:space="preserve"> the </w:t>
      </w:r>
      <w:r w:rsidRPr="00796931">
        <w:rPr>
          <w:rFonts w:cs="Times New Roman"/>
          <w:color w:val="000000" w:themeColor="text1"/>
        </w:rPr>
        <w:t>percentage of individuals aged below 15 years was 35.2% of the total population, while those aged 60 years and above made up 6.</w:t>
      </w:r>
      <w:r w:rsidR="00540E86" w:rsidRPr="00796931">
        <w:rPr>
          <w:rFonts w:cs="Times New Roman"/>
          <w:color w:val="000000" w:themeColor="text1"/>
        </w:rPr>
        <w:t>7</w:t>
      </w:r>
      <w:r w:rsidRPr="00796931">
        <w:rPr>
          <w:rFonts w:cs="Times New Roman"/>
          <w:color w:val="000000" w:themeColor="text1"/>
        </w:rPr>
        <w:t xml:space="preserve">% of the </w:t>
      </w:r>
      <w:r w:rsidR="00BA5766" w:rsidRPr="00796931">
        <w:rPr>
          <w:rFonts w:cs="Times New Roman"/>
          <w:color w:val="000000" w:themeColor="text1"/>
        </w:rPr>
        <w:t xml:space="preserve">governorate’s </w:t>
      </w:r>
      <w:r w:rsidRPr="00796931">
        <w:rPr>
          <w:rFonts w:cs="Times New Roman"/>
          <w:color w:val="000000" w:themeColor="text1"/>
        </w:rPr>
        <w:t>total population</w:t>
      </w:r>
      <w:r w:rsidR="007233E1" w:rsidRPr="00796931">
        <w:rPr>
          <w:rFonts w:cs="Times New Roman"/>
          <w:color w:val="000000" w:themeColor="text1"/>
        </w:rPr>
        <w:t>.</w:t>
      </w:r>
    </w:p>
    <w:p w:rsidR="00E77384" w:rsidRPr="00796931" w:rsidRDefault="00121A95" w:rsidP="0024250E">
      <w:pPr>
        <w:pStyle w:val="BodyText2"/>
        <w:numPr>
          <w:ilvl w:val="0"/>
          <w:numId w:val="15"/>
        </w:numPr>
        <w:tabs>
          <w:tab w:val="left" w:pos="284"/>
        </w:tabs>
        <w:bidi w:val="0"/>
        <w:spacing w:before="80"/>
        <w:ind w:left="284" w:hanging="284"/>
        <w:rPr>
          <w:rFonts w:cs="Times New Roman"/>
          <w:color w:val="000000" w:themeColor="text1"/>
        </w:rPr>
      </w:pPr>
      <w:r w:rsidRPr="00796931">
        <w:rPr>
          <w:rFonts w:cs="Times New Roman"/>
          <w:color w:val="000000" w:themeColor="text1"/>
        </w:rPr>
        <w:t xml:space="preserve">In 2013, </w:t>
      </w:r>
      <w:r w:rsidR="00E77384" w:rsidRPr="00796931">
        <w:rPr>
          <w:rFonts w:cs="Times New Roman"/>
          <w:color w:val="000000" w:themeColor="text1"/>
        </w:rPr>
        <w:t xml:space="preserve">Palestinian refugees </w:t>
      </w:r>
      <w:r w:rsidR="0024250E" w:rsidRPr="00C21A27">
        <w:rPr>
          <w:rFonts w:asciiTheme="majorBidi" w:hAnsiTheme="majorBidi" w:cstheme="majorBidi"/>
          <w:color w:val="000000" w:themeColor="text1"/>
        </w:rPr>
        <w:t>comprise</w:t>
      </w:r>
      <w:r w:rsidR="0024250E">
        <w:rPr>
          <w:rFonts w:asciiTheme="majorBidi" w:hAnsiTheme="majorBidi" w:cstheme="majorBidi"/>
          <w:color w:val="000000" w:themeColor="text1"/>
        </w:rPr>
        <w:t>d</w:t>
      </w:r>
      <w:r w:rsidR="00E77384" w:rsidRPr="00796931">
        <w:rPr>
          <w:rFonts w:cs="Times New Roman"/>
          <w:color w:val="000000" w:themeColor="text1"/>
        </w:rPr>
        <w:t xml:space="preserve"> 25.1% of the total population of Jerusalem governorate: 21.2% in Area J1 and 31.4% in Area J2.  </w:t>
      </w:r>
    </w:p>
    <w:p w:rsidR="00E77384" w:rsidRPr="00796931" w:rsidRDefault="00E77384" w:rsidP="00796931">
      <w:pPr>
        <w:pStyle w:val="BodyText2"/>
        <w:numPr>
          <w:ilvl w:val="0"/>
          <w:numId w:val="15"/>
        </w:numPr>
        <w:tabs>
          <w:tab w:val="left" w:pos="284"/>
        </w:tabs>
        <w:bidi w:val="0"/>
        <w:spacing w:before="80"/>
        <w:ind w:left="284" w:hanging="284"/>
        <w:rPr>
          <w:rFonts w:cs="Times New Roman"/>
          <w:color w:val="000000" w:themeColor="text1"/>
        </w:rPr>
      </w:pPr>
      <w:r w:rsidRPr="00796931">
        <w:rPr>
          <w:rFonts w:cs="Times New Roman"/>
          <w:color w:val="000000" w:themeColor="text1"/>
        </w:rPr>
        <w:t xml:space="preserve">The average household size was </w:t>
      </w:r>
      <w:r w:rsidRPr="00796931">
        <w:rPr>
          <w:rFonts w:cs="Times New Roman"/>
          <w:color w:val="000000" w:themeColor="text1"/>
          <w:rtl/>
        </w:rPr>
        <w:t>3.7</w:t>
      </w:r>
      <w:r w:rsidRPr="00796931">
        <w:rPr>
          <w:rFonts w:cs="Times New Roman"/>
          <w:color w:val="000000" w:themeColor="text1"/>
        </w:rPr>
        <w:t xml:space="preserve"> persons in 2013. </w:t>
      </w:r>
    </w:p>
    <w:p w:rsidR="00846B7B" w:rsidRDefault="00846B7B" w:rsidP="00796931">
      <w:pPr>
        <w:pStyle w:val="ListParagraph"/>
        <w:rPr>
          <w:rFonts w:asciiTheme="majorBidi" w:hAnsiTheme="majorBidi" w:cstheme="majorBidi"/>
          <w:color w:val="000000" w:themeColor="text1"/>
        </w:rPr>
      </w:pPr>
    </w:p>
    <w:p w:rsidR="00846B7B" w:rsidRPr="00796931" w:rsidRDefault="00846B7B" w:rsidP="00796931">
      <w:pPr>
        <w:pStyle w:val="BodyText2"/>
        <w:tabs>
          <w:tab w:val="left" w:pos="284"/>
        </w:tabs>
        <w:bidi w:val="0"/>
        <w:ind w:left="284"/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796931">
        <w:rPr>
          <w:rFonts w:ascii="Arial" w:hAnsi="Arial" w:cs="Arial"/>
          <w:b/>
          <w:bCs/>
          <w:color w:val="000000" w:themeColor="text1"/>
          <w:sz w:val="18"/>
          <w:szCs w:val="18"/>
        </w:rPr>
        <w:t>Estimated Population in Jerusalem Governorate by Locality, Mid-Year 2016</w:t>
      </w:r>
    </w:p>
    <w:p w:rsidR="00846B7B" w:rsidRPr="00796931" w:rsidRDefault="00846B7B" w:rsidP="00796931">
      <w:pPr>
        <w:pStyle w:val="BodyText2"/>
        <w:tabs>
          <w:tab w:val="left" w:pos="284"/>
        </w:tabs>
        <w:bidi w:val="0"/>
        <w:ind w:left="284"/>
        <w:jc w:val="center"/>
        <w:rPr>
          <w:rFonts w:asciiTheme="majorBidi" w:hAnsiTheme="majorBidi" w:cstheme="majorBidi"/>
          <w:b/>
          <w:bCs/>
          <w:color w:val="000000" w:themeColor="text1"/>
          <w:sz w:val="4"/>
          <w:szCs w:val="4"/>
        </w:rPr>
      </w:pPr>
    </w:p>
    <w:p w:rsidR="0068614B" w:rsidRPr="00C21A27" w:rsidRDefault="003F0EB6" w:rsidP="00796931">
      <w:pPr>
        <w:pStyle w:val="BodyText2"/>
        <w:tabs>
          <w:tab w:val="left" w:pos="284"/>
        </w:tabs>
        <w:bidi w:val="0"/>
        <w:jc w:val="center"/>
        <w:rPr>
          <w:color w:val="000000" w:themeColor="text1"/>
        </w:rPr>
      </w:pPr>
      <w:r w:rsidRPr="00846B7B">
        <w:rPr>
          <w:noProof/>
          <w:color w:val="000000" w:themeColor="text1"/>
          <w:bdr w:val="single" w:sz="4" w:space="0" w:color="auto"/>
        </w:rPr>
        <w:drawing>
          <wp:inline distT="0" distB="0" distL="0" distR="0">
            <wp:extent cx="4679437" cy="2324559"/>
            <wp:effectExtent l="19050" t="0" r="6863" b="0"/>
            <wp:docPr id="14" name="Picture 5" descr="C:\Users\maen\AppData\Local\Microsoft\Windows\INetCache\Content.Word\E_Quds_Estimated_Popul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aen\AppData\Local\Microsoft\Windows\INetCache\Content.Word\E_Quds_Estimated_Population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5437" t="7533" r="2076" b="415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437" cy="23245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7384" w:rsidRPr="000562F6" w:rsidRDefault="00E77384" w:rsidP="00796931">
      <w:pPr>
        <w:ind w:left="1"/>
        <w:jc w:val="center"/>
        <w:rPr>
          <w:rFonts w:ascii="Arial" w:hAnsi="Arial" w:cs="Arial"/>
          <w:b/>
          <w:bCs/>
          <w:color w:val="FF0000"/>
          <w:sz w:val="18"/>
          <w:szCs w:val="18"/>
        </w:rPr>
      </w:pPr>
    </w:p>
    <w:p w:rsidR="00796931" w:rsidRDefault="00796931">
      <w:pPr>
        <w:overflowPunct/>
        <w:autoSpaceDE/>
        <w:autoSpaceDN/>
        <w:adjustRightInd/>
        <w:textAlignment w:val="auto"/>
        <w:rPr>
          <w:rFonts w:asciiTheme="minorBidi" w:hAnsiTheme="minorBidi" w:cstheme="minorBidi"/>
          <w:b/>
          <w:bCs/>
          <w:color w:val="000000" w:themeColor="text1"/>
          <w:sz w:val="18"/>
          <w:szCs w:val="18"/>
        </w:rPr>
      </w:pPr>
      <w:r>
        <w:rPr>
          <w:rFonts w:asciiTheme="minorBidi" w:hAnsiTheme="minorBidi" w:cstheme="minorBidi"/>
          <w:b/>
          <w:bCs/>
          <w:color w:val="000000" w:themeColor="text1"/>
          <w:sz w:val="18"/>
          <w:szCs w:val="18"/>
        </w:rPr>
        <w:br w:type="page"/>
      </w:r>
    </w:p>
    <w:p w:rsidR="00E77384" w:rsidRPr="00796931" w:rsidRDefault="00E77384" w:rsidP="00796931">
      <w:pPr>
        <w:ind w:left="1"/>
        <w:jc w:val="center"/>
        <w:rPr>
          <w:rFonts w:ascii="Arial" w:hAnsi="Arial" w:cs="Arial"/>
          <w:b/>
          <w:bCs/>
          <w:color w:val="000000" w:themeColor="text1"/>
          <w:sz w:val="18"/>
          <w:szCs w:val="18"/>
          <w:rtl/>
        </w:rPr>
      </w:pPr>
      <w:r w:rsidRPr="00796931">
        <w:rPr>
          <w:rFonts w:ascii="Arial" w:hAnsi="Arial" w:cs="Arial"/>
          <w:b/>
          <w:bCs/>
          <w:color w:val="000000" w:themeColor="text1"/>
          <w:sz w:val="18"/>
          <w:szCs w:val="18"/>
        </w:rPr>
        <w:lastRenderedPageBreak/>
        <w:t xml:space="preserve">Percentage Distribution of Palestinian Population in </w:t>
      </w:r>
      <w:r w:rsidR="009D489E" w:rsidRPr="00796931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Jerusalem Governorate </w:t>
      </w:r>
      <w:r w:rsidRPr="00796931">
        <w:rPr>
          <w:rFonts w:ascii="Arial" w:hAnsi="Arial" w:cs="Arial"/>
          <w:b/>
          <w:bCs/>
          <w:color w:val="000000" w:themeColor="text1"/>
          <w:sz w:val="18"/>
          <w:szCs w:val="18"/>
        </w:rPr>
        <w:t>by Area and Age</w:t>
      </w:r>
      <w:r w:rsidRPr="00796931">
        <w:rPr>
          <w:rFonts w:ascii="Arial" w:hAnsi="Arial" w:cs="Arial"/>
          <w:b/>
          <w:bCs/>
          <w:color w:val="000000" w:themeColor="text1"/>
          <w:sz w:val="22"/>
          <w:szCs w:val="22"/>
        </w:rPr>
        <w:t xml:space="preserve"> </w:t>
      </w:r>
      <w:r w:rsidRPr="00796931">
        <w:rPr>
          <w:rFonts w:ascii="Arial" w:hAnsi="Arial" w:cs="Arial"/>
          <w:b/>
          <w:bCs/>
          <w:color w:val="000000" w:themeColor="text1"/>
          <w:sz w:val="18"/>
          <w:szCs w:val="18"/>
        </w:rPr>
        <w:t>Groups, 2013</w:t>
      </w:r>
    </w:p>
    <w:p w:rsidR="00E77384" w:rsidRPr="00796931" w:rsidRDefault="00E77384" w:rsidP="00796931">
      <w:pPr>
        <w:bidi/>
        <w:ind w:left="1"/>
        <w:jc w:val="center"/>
        <w:rPr>
          <w:rFonts w:ascii="Arial" w:hAnsi="Arial" w:cs="Arial"/>
          <w:b/>
          <w:bCs/>
          <w:color w:val="000000" w:themeColor="text1"/>
          <w:sz w:val="6"/>
          <w:szCs w:val="6"/>
          <w:rtl/>
        </w:rPr>
      </w:pPr>
    </w:p>
    <w:p w:rsidR="00E77384" w:rsidRPr="00C21A27" w:rsidRDefault="00E77384" w:rsidP="00796931">
      <w:pPr>
        <w:bidi/>
        <w:ind w:left="1"/>
        <w:jc w:val="center"/>
        <w:rPr>
          <w:color w:val="000000" w:themeColor="text1"/>
        </w:rPr>
      </w:pPr>
      <w:r w:rsidRPr="00C21A27">
        <w:rPr>
          <w:rFonts w:ascii="Arial" w:hAnsi="Arial" w:cs="Arial"/>
          <w:b/>
          <w:bCs/>
          <w:noProof/>
          <w:color w:val="000000" w:themeColor="text1"/>
          <w:sz w:val="22"/>
          <w:szCs w:val="22"/>
          <w:bdr w:val="single" w:sz="4" w:space="0" w:color="auto"/>
          <w:rtl/>
        </w:rPr>
        <w:drawing>
          <wp:inline distT="0" distB="0" distL="0" distR="0">
            <wp:extent cx="4630045" cy="2137893"/>
            <wp:effectExtent l="0" t="0" r="0" b="0"/>
            <wp:docPr id="11" name="Object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E77384" w:rsidRPr="000562F6" w:rsidRDefault="00E77384" w:rsidP="00796931">
      <w:pPr>
        <w:tabs>
          <w:tab w:val="num" w:pos="0"/>
        </w:tabs>
        <w:jc w:val="both"/>
        <w:rPr>
          <w:rFonts w:cs="Simplified Arabic"/>
          <w:color w:val="FF0000"/>
        </w:rPr>
      </w:pPr>
    </w:p>
    <w:p w:rsidR="00E77384" w:rsidRPr="000562F6" w:rsidRDefault="00E77384" w:rsidP="00796931">
      <w:pPr>
        <w:jc w:val="lowKashida"/>
        <w:rPr>
          <w:b/>
          <w:bCs/>
          <w:color w:val="000000" w:themeColor="text1"/>
        </w:rPr>
      </w:pPr>
      <w:r w:rsidRPr="000562F6">
        <w:rPr>
          <w:b/>
          <w:bCs/>
          <w:color w:val="000000" w:themeColor="text1"/>
        </w:rPr>
        <w:t xml:space="preserve">Vital Statistics </w:t>
      </w:r>
    </w:p>
    <w:p w:rsidR="00DC4E4A" w:rsidRPr="000562F6" w:rsidRDefault="00147372" w:rsidP="00796931">
      <w:pPr>
        <w:numPr>
          <w:ilvl w:val="0"/>
          <w:numId w:val="8"/>
        </w:numPr>
        <w:tabs>
          <w:tab w:val="clear" w:pos="720"/>
          <w:tab w:val="num" w:pos="284"/>
        </w:tabs>
        <w:spacing w:before="80"/>
        <w:ind w:left="284" w:right="0" w:hanging="284"/>
        <w:jc w:val="lowKashida"/>
        <w:rPr>
          <w:rFonts w:asciiTheme="majorBidi" w:hAnsiTheme="majorBidi" w:cstheme="majorBidi"/>
          <w:color w:val="000000" w:themeColor="text1"/>
        </w:rPr>
      </w:pPr>
      <w:r w:rsidRPr="000562F6">
        <w:rPr>
          <w:rFonts w:asciiTheme="majorBidi" w:hAnsiTheme="majorBidi" w:cstheme="majorBidi"/>
          <w:color w:val="000000" w:themeColor="text1"/>
        </w:rPr>
        <w:t xml:space="preserve">The number of registered live births in the </w:t>
      </w:r>
      <w:r w:rsidR="009D489E" w:rsidRPr="000562F6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Pr="000562F6">
        <w:rPr>
          <w:rFonts w:asciiTheme="majorBidi" w:hAnsiTheme="majorBidi" w:cstheme="majorBidi"/>
          <w:color w:val="000000" w:themeColor="text1"/>
        </w:rPr>
        <w:t xml:space="preserve">with Palestinian </w:t>
      </w:r>
      <w:r w:rsidR="009D489E" w:rsidRPr="000562F6">
        <w:rPr>
          <w:color w:val="000000" w:themeColor="text1"/>
        </w:rPr>
        <w:t xml:space="preserve">ID card </w:t>
      </w:r>
      <w:r w:rsidRPr="000562F6">
        <w:rPr>
          <w:rFonts w:asciiTheme="majorBidi" w:hAnsiTheme="majorBidi" w:cstheme="majorBidi"/>
          <w:color w:val="000000" w:themeColor="text1"/>
        </w:rPr>
        <w:t>was 3,239 in 2015, 3,475 in</w:t>
      </w:r>
      <w:r w:rsidR="00BA5260" w:rsidRPr="000562F6">
        <w:rPr>
          <w:rFonts w:asciiTheme="majorBidi" w:hAnsiTheme="majorBidi" w:cstheme="majorBidi"/>
          <w:color w:val="000000" w:themeColor="text1"/>
        </w:rPr>
        <w:t xml:space="preserve"> 2014, 3,453</w:t>
      </w:r>
      <w:r w:rsidRPr="000562F6">
        <w:rPr>
          <w:rFonts w:asciiTheme="majorBidi" w:hAnsiTheme="majorBidi" w:cstheme="majorBidi"/>
          <w:color w:val="000000" w:themeColor="text1"/>
        </w:rPr>
        <w:t xml:space="preserve"> in 2013, and 3,532 in 2012.  Registered deaths for the same years were 318, 309, 327, and 286 respectively.</w:t>
      </w:r>
    </w:p>
    <w:p w:rsidR="009A05C9" w:rsidRPr="009A05C9" w:rsidRDefault="009A05C9" w:rsidP="00796931">
      <w:pPr>
        <w:numPr>
          <w:ilvl w:val="0"/>
          <w:numId w:val="8"/>
        </w:numPr>
        <w:tabs>
          <w:tab w:val="clear" w:pos="720"/>
          <w:tab w:val="num" w:pos="284"/>
        </w:tabs>
        <w:spacing w:before="80"/>
        <w:ind w:left="284" w:right="0" w:hanging="284"/>
        <w:jc w:val="lowKashida"/>
        <w:rPr>
          <w:rFonts w:asciiTheme="majorBidi" w:hAnsiTheme="majorBidi" w:cstheme="majorBidi"/>
          <w:color w:val="000000" w:themeColor="text1"/>
        </w:rPr>
      </w:pPr>
      <w:r w:rsidRPr="009A05C9">
        <w:rPr>
          <w:rFonts w:asciiTheme="majorBidi" w:hAnsiTheme="majorBidi" w:cstheme="majorBidi"/>
          <w:color w:val="000000" w:themeColor="text1"/>
        </w:rPr>
        <w:t xml:space="preserve">3,263 marriage contracts were signed in </w:t>
      </w:r>
      <w:proofErr w:type="spellStart"/>
      <w:r w:rsidRPr="009A05C9">
        <w:rPr>
          <w:rFonts w:asciiTheme="majorBidi" w:hAnsiTheme="majorBidi" w:cstheme="majorBidi"/>
          <w:color w:val="000000" w:themeColor="text1"/>
        </w:rPr>
        <w:t>shariah</w:t>
      </w:r>
      <w:proofErr w:type="spellEnd"/>
      <w:r w:rsidRPr="009A05C9">
        <w:rPr>
          <w:rFonts w:asciiTheme="majorBidi" w:hAnsiTheme="majorBidi" w:cstheme="majorBidi"/>
          <w:color w:val="000000" w:themeColor="text1"/>
        </w:rPr>
        <w:t xml:space="preserve"> courts and churches in Jerusalem Governorate in 2015. </w:t>
      </w:r>
    </w:p>
    <w:p w:rsidR="009A05C9" w:rsidRPr="009A05C9" w:rsidRDefault="009A05C9" w:rsidP="00796931">
      <w:pPr>
        <w:numPr>
          <w:ilvl w:val="0"/>
          <w:numId w:val="8"/>
        </w:numPr>
        <w:tabs>
          <w:tab w:val="clear" w:pos="720"/>
          <w:tab w:val="num" w:pos="284"/>
        </w:tabs>
        <w:spacing w:before="80"/>
        <w:ind w:left="284" w:right="0" w:hanging="284"/>
        <w:jc w:val="lowKashida"/>
        <w:rPr>
          <w:rFonts w:asciiTheme="majorBidi" w:hAnsiTheme="majorBidi" w:cstheme="majorBidi"/>
          <w:color w:val="000000" w:themeColor="text1"/>
        </w:rPr>
      </w:pPr>
      <w:r w:rsidRPr="009A05C9">
        <w:rPr>
          <w:rFonts w:asciiTheme="majorBidi" w:hAnsiTheme="majorBidi" w:cstheme="majorBidi"/>
          <w:color w:val="000000" w:themeColor="text1"/>
        </w:rPr>
        <w:t xml:space="preserve">There were 614 cases of divorce in </w:t>
      </w:r>
      <w:proofErr w:type="spellStart"/>
      <w:r w:rsidRPr="009A05C9">
        <w:rPr>
          <w:rFonts w:asciiTheme="majorBidi" w:hAnsiTheme="majorBidi" w:cstheme="majorBidi"/>
          <w:color w:val="000000" w:themeColor="text1"/>
        </w:rPr>
        <w:t>shariah</w:t>
      </w:r>
      <w:proofErr w:type="spellEnd"/>
      <w:r w:rsidRPr="009A05C9">
        <w:rPr>
          <w:rFonts w:asciiTheme="majorBidi" w:hAnsiTheme="majorBidi" w:cstheme="majorBidi"/>
          <w:color w:val="000000" w:themeColor="text1"/>
        </w:rPr>
        <w:t xml:space="preserve"> courts in Jerusalem Governorate in 2015. </w:t>
      </w:r>
    </w:p>
    <w:p w:rsidR="009A05C9" w:rsidRPr="00796931" w:rsidRDefault="009A05C9" w:rsidP="00796931">
      <w:pPr>
        <w:ind w:right="-1"/>
        <w:jc w:val="center"/>
        <w:rPr>
          <w:rFonts w:ascii="Arial" w:hAnsi="Arial" w:cs="Arial"/>
          <w:b/>
          <w:bCs/>
          <w:color w:val="000000" w:themeColor="text1"/>
        </w:rPr>
      </w:pPr>
    </w:p>
    <w:p w:rsidR="009A05C9" w:rsidRDefault="009A05C9" w:rsidP="00796931">
      <w:pPr>
        <w:ind w:right="-1"/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796931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Median Age at the First Legal Marriage by Selected Governorates, </w:t>
      </w:r>
      <w:r w:rsidRPr="00796931">
        <w:rPr>
          <w:rFonts w:ascii="Arial" w:hAnsi="Arial" w:cs="Arial"/>
          <w:b/>
          <w:bCs/>
          <w:color w:val="000000" w:themeColor="text1"/>
          <w:sz w:val="18"/>
          <w:szCs w:val="18"/>
          <w:rtl/>
        </w:rPr>
        <w:t>2015</w:t>
      </w:r>
    </w:p>
    <w:p w:rsidR="00796931" w:rsidRPr="00796931" w:rsidRDefault="00796931" w:rsidP="00796931">
      <w:pPr>
        <w:ind w:right="-1"/>
        <w:jc w:val="center"/>
        <w:rPr>
          <w:rFonts w:ascii="Arial" w:hAnsi="Arial" w:cs="Arial"/>
          <w:b/>
          <w:bCs/>
          <w:color w:val="000000" w:themeColor="text1"/>
          <w:sz w:val="6"/>
          <w:szCs w:val="6"/>
        </w:rPr>
      </w:pPr>
    </w:p>
    <w:p w:rsidR="009A05C9" w:rsidRPr="009A05C9" w:rsidRDefault="009A05C9" w:rsidP="00796931">
      <w:pPr>
        <w:pStyle w:val="Heading9"/>
        <w:spacing w:before="0"/>
        <w:ind w:left="-1"/>
        <w:jc w:val="center"/>
        <w:rPr>
          <w:color w:val="000000" w:themeColor="text1"/>
          <w:rtl/>
        </w:rPr>
      </w:pPr>
      <w:r w:rsidRPr="009A05C9">
        <w:rPr>
          <w:noProof/>
          <w:color w:val="000000" w:themeColor="text1"/>
          <w:bdr w:val="single" w:sz="4" w:space="0" w:color="auto"/>
        </w:rPr>
        <w:drawing>
          <wp:inline distT="0" distB="0" distL="0" distR="0">
            <wp:extent cx="4469642" cy="2408830"/>
            <wp:effectExtent l="0" t="0" r="0" b="0"/>
            <wp:docPr id="16" name="Objec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E77384" w:rsidRDefault="00E77384" w:rsidP="00796931">
      <w:pPr>
        <w:pStyle w:val="ListParagraph"/>
        <w:rPr>
          <w:color w:val="FF0000"/>
        </w:rPr>
      </w:pPr>
    </w:p>
    <w:p w:rsidR="00796931" w:rsidRDefault="00796931" w:rsidP="00796931">
      <w:pPr>
        <w:pStyle w:val="ListParagraph"/>
        <w:rPr>
          <w:color w:val="FF0000"/>
        </w:rPr>
      </w:pPr>
    </w:p>
    <w:p w:rsidR="00796931" w:rsidRDefault="00796931" w:rsidP="00796931">
      <w:pPr>
        <w:pStyle w:val="ListParagraph"/>
        <w:rPr>
          <w:color w:val="FF0000"/>
        </w:rPr>
      </w:pPr>
    </w:p>
    <w:p w:rsidR="00796931" w:rsidRPr="000562F6" w:rsidRDefault="00796931" w:rsidP="00796931">
      <w:pPr>
        <w:pStyle w:val="ListParagraph"/>
        <w:rPr>
          <w:color w:val="FF0000"/>
        </w:rPr>
      </w:pPr>
    </w:p>
    <w:p w:rsidR="00E4320D" w:rsidRPr="009A05C9" w:rsidRDefault="00E4320D" w:rsidP="00796931">
      <w:pPr>
        <w:jc w:val="both"/>
        <w:rPr>
          <w:b/>
          <w:bCs/>
          <w:color w:val="000000" w:themeColor="text1"/>
        </w:rPr>
      </w:pPr>
      <w:r w:rsidRPr="009A05C9">
        <w:rPr>
          <w:b/>
          <w:bCs/>
          <w:color w:val="000000" w:themeColor="text1"/>
        </w:rPr>
        <w:lastRenderedPageBreak/>
        <w:t xml:space="preserve">Health </w:t>
      </w:r>
    </w:p>
    <w:p w:rsidR="00E4320D" w:rsidRPr="009A05C9" w:rsidRDefault="00E4320D" w:rsidP="00796931">
      <w:pPr>
        <w:pStyle w:val="BodyText2"/>
        <w:numPr>
          <w:ilvl w:val="0"/>
          <w:numId w:val="15"/>
        </w:numPr>
        <w:tabs>
          <w:tab w:val="left" w:pos="284"/>
        </w:tabs>
        <w:bidi w:val="0"/>
        <w:spacing w:before="80"/>
        <w:ind w:left="284" w:hanging="284"/>
        <w:rPr>
          <w:rFonts w:asciiTheme="majorBidi" w:hAnsiTheme="majorBidi" w:cstheme="majorBidi"/>
          <w:color w:val="000000" w:themeColor="text1"/>
        </w:rPr>
      </w:pPr>
      <w:r w:rsidRPr="009A05C9">
        <w:rPr>
          <w:rFonts w:asciiTheme="majorBidi" w:hAnsiTheme="majorBidi" w:cstheme="majorBidi"/>
          <w:color w:val="000000" w:themeColor="text1"/>
        </w:rPr>
        <w:t xml:space="preserve">There were 7 hospitals in Jerusalem Governorate with </w:t>
      </w:r>
      <w:r w:rsidRPr="009A05C9">
        <w:rPr>
          <w:rFonts w:asciiTheme="majorBidi" w:hAnsiTheme="majorBidi" w:cstheme="majorBidi"/>
          <w:color w:val="000000" w:themeColor="text1"/>
          <w:rtl/>
        </w:rPr>
        <w:t>6</w:t>
      </w:r>
      <w:r w:rsidRPr="009A05C9">
        <w:rPr>
          <w:rFonts w:asciiTheme="majorBidi" w:hAnsiTheme="majorBidi" w:cstheme="majorBidi" w:hint="cs"/>
          <w:color w:val="000000" w:themeColor="text1"/>
          <w:rtl/>
        </w:rPr>
        <w:t>98</w:t>
      </w:r>
      <w:r w:rsidRPr="009A05C9">
        <w:rPr>
          <w:rFonts w:asciiTheme="majorBidi" w:hAnsiTheme="majorBidi" w:cstheme="majorBidi"/>
          <w:color w:val="000000" w:themeColor="text1"/>
        </w:rPr>
        <w:t xml:space="preserve"> beds in 201</w:t>
      </w:r>
      <w:r w:rsidRPr="009A05C9">
        <w:rPr>
          <w:rFonts w:asciiTheme="majorBidi" w:hAnsiTheme="majorBidi" w:cstheme="majorBidi" w:hint="cs"/>
          <w:color w:val="000000" w:themeColor="text1"/>
          <w:rtl/>
        </w:rPr>
        <w:t>6</w:t>
      </w:r>
      <w:r w:rsidRPr="009A05C9">
        <w:rPr>
          <w:rFonts w:asciiTheme="majorBidi" w:hAnsiTheme="majorBidi" w:cstheme="majorBidi"/>
          <w:color w:val="000000" w:themeColor="text1"/>
        </w:rPr>
        <w:t>.</w:t>
      </w:r>
    </w:p>
    <w:p w:rsidR="00E4320D" w:rsidRPr="009A05C9" w:rsidRDefault="00E4320D" w:rsidP="00796931">
      <w:pPr>
        <w:pStyle w:val="BodyText2"/>
        <w:numPr>
          <w:ilvl w:val="0"/>
          <w:numId w:val="15"/>
        </w:numPr>
        <w:tabs>
          <w:tab w:val="left" w:pos="284"/>
        </w:tabs>
        <w:bidi w:val="0"/>
        <w:spacing w:before="80"/>
        <w:ind w:left="284" w:hanging="284"/>
        <w:rPr>
          <w:rFonts w:asciiTheme="majorBidi" w:hAnsiTheme="majorBidi" w:cstheme="majorBidi"/>
          <w:color w:val="000000" w:themeColor="text1"/>
        </w:rPr>
      </w:pPr>
      <w:r w:rsidRPr="009A05C9">
        <w:rPr>
          <w:rFonts w:asciiTheme="majorBidi" w:hAnsiTheme="majorBidi" w:cstheme="majorBidi"/>
          <w:color w:val="000000" w:themeColor="text1"/>
        </w:rPr>
        <w:t>The total number of discharges from Jerusalem hospitals was 50,555</w:t>
      </w:r>
      <w:r w:rsidR="00C07524">
        <w:rPr>
          <w:rFonts w:asciiTheme="majorBidi" w:hAnsiTheme="majorBidi" w:cstheme="majorBidi"/>
          <w:color w:val="000000" w:themeColor="text1"/>
        </w:rPr>
        <w:t xml:space="preserve"> </w:t>
      </w:r>
      <w:r w:rsidRPr="009A05C9">
        <w:rPr>
          <w:rFonts w:asciiTheme="majorBidi" w:hAnsiTheme="majorBidi" w:cstheme="majorBidi"/>
          <w:color w:val="000000" w:themeColor="text1"/>
        </w:rPr>
        <w:t xml:space="preserve">in 2016. </w:t>
      </w:r>
    </w:p>
    <w:p w:rsidR="00E4320D" w:rsidRPr="009A05C9" w:rsidRDefault="00E4320D" w:rsidP="00796931">
      <w:pPr>
        <w:pStyle w:val="BodyText2"/>
        <w:numPr>
          <w:ilvl w:val="0"/>
          <w:numId w:val="15"/>
        </w:numPr>
        <w:tabs>
          <w:tab w:val="left" w:pos="284"/>
        </w:tabs>
        <w:bidi w:val="0"/>
        <w:spacing w:before="80"/>
        <w:ind w:left="284" w:hanging="284"/>
        <w:rPr>
          <w:rFonts w:asciiTheme="majorBidi" w:hAnsiTheme="majorBidi" w:cstheme="majorBidi"/>
          <w:color w:val="000000" w:themeColor="text1"/>
        </w:rPr>
      </w:pPr>
      <w:r w:rsidRPr="009A05C9">
        <w:rPr>
          <w:rFonts w:asciiTheme="majorBidi" w:hAnsiTheme="majorBidi" w:cstheme="majorBidi"/>
          <w:color w:val="000000" w:themeColor="text1"/>
        </w:rPr>
        <w:t>The total number of hospitalization days in Jerusalem hospitals was 197,629</w:t>
      </w:r>
      <w:r w:rsidR="00B82F19">
        <w:rPr>
          <w:rFonts w:asciiTheme="majorBidi" w:hAnsiTheme="majorBidi" w:cstheme="majorBidi"/>
          <w:color w:val="000000" w:themeColor="text1"/>
        </w:rPr>
        <w:t xml:space="preserve"> </w:t>
      </w:r>
      <w:r w:rsidRPr="009A05C9">
        <w:rPr>
          <w:rFonts w:asciiTheme="majorBidi" w:hAnsiTheme="majorBidi" w:cstheme="majorBidi"/>
          <w:color w:val="000000" w:themeColor="text1"/>
        </w:rPr>
        <w:t xml:space="preserve">in 2016. </w:t>
      </w:r>
    </w:p>
    <w:p w:rsidR="00E4320D" w:rsidRPr="009A05C9" w:rsidRDefault="00E4320D" w:rsidP="00796931">
      <w:pPr>
        <w:pStyle w:val="BodyText2"/>
        <w:numPr>
          <w:ilvl w:val="0"/>
          <w:numId w:val="15"/>
        </w:numPr>
        <w:tabs>
          <w:tab w:val="left" w:pos="284"/>
        </w:tabs>
        <w:bidi w:val="0"/>
        <w:spacing w:before="80"/>
        <w:ind w:left="284" w:hanging="284"/>
        <w:rPr>
          <w:rFonts w:asciiTheme="majorBidi" w:hAnsiTheme="majorBidi" w:cstheme="majorBidi"/>
          <w:color w:val="000000" w:themeColor="text1"/>
        </w:rPr>
      </w:pPr>
      <w:r w:rsidRPr="009A05C9">
        <w:rPr>
          <w:rFonts w:asciiTheme="majorBidi" w:hAnsiTheme="majorBidi" w:cstheme="majorBidi"/>
          <w:color w:val="000000" w:themeColor="text1"/>
        </w:rPr>
        <w:t xml:space="preserve">The bed occupancy rate in Jerusalem hospitals was 77.6 % in 2016. </w:t>
      </w:r>
    </w:p>
    <w:p w:rsidR="00E4320D" w:rsidRPr="009A05C9" w:rsidRDefault="00E4320D" w:rsidP="00796931">
      <w:pPr>
        <w:pStyle w:val="BodyText2"/>
        <w:numPr>
          <w:ilvl w:val="0"/>
          <w:numId w:val="15"/>
        </w:numPr>
        <w:tabs>
          <w:tab w:val="left" w:pos="284"/>
        </w:tabs>
        <w:bidi w:val="0"/>
        <w:spacing w:before="80"/>
        <w:ind w:left="284" w:hanging="284"/>
        <w:rPr>
          <w:rFonts w:asciiTheme="majorBidi" w:hAnsiTheme="majorBidi" w:cstheme="majorBidi"/>
          <w:color w:val="000000" w:themeColor="text1"/>
        </w:rPr>
      </w:pPr>
      <w:r w:rsidRPr="009A05C9">
        <w:rPr>
          <w:rFonts w:asciiTheme="majorBidi" w:hAnsiTheme="majorBidi" w:cstheme="majorBidi"/>
          <w:color w:val="000000" w:themeColor="text1"/>
        </w:rPr>
        <w:t>In 2013, around 92.4% of individuals in Jerusalem Governorate reported having health insurance (97.1% in Area J1 and 84.8% in Area J2).  In J1, 95.5% reported using Israeli insurance (</w:t>
      </w:r>
      <w:proofErr w:type="spellStart"/>
      <w:r w:rsidRPr="009A05C9">
        <w:rPr>
          <w:rFonts w:asciiTheme="majorBidi" w:hAnsiTheme="majorBidi" w:cstheme="majorBidi"/>
          <w:color w:val="000000" w:themeColor="text1"/>
        </w:rPr>
        <w:t>Kupat</w:t>
      </w:r>
      <w:proofErr w:type="spellEnd"/>
      <w:r w:rsidRPr="009A05C9">
        <w:rPr>
          <w:rFonts w:asciiTheme="majorBidi" w:hAnsiTheme="majorBidi" w:cstheme="majorBidi"/>
          <w:color w:val="000000" w:themeColor="text1"/>
        </w:rPr>
        <w:t xml:space="preserve"> </w:t>
      </w:r>
      <w:proofErr w:type="spellStart"/>
      <w:r w:rsidRPr="009A05C9">
        <w:rPr>
          <w:rFonts w:asciiTheme="majorBidi" w:hAnsiTheme="majorBidi" w:cstheme="majorBidi"/>
          <w:color w:val="000000" w:themeColor="text1"/>
        </w:rPr>
        <w:t>Holim</w:t>
      </w:r>
      <w:proofErr w:type="spellEnd"/>
      <w:r w:rsidRPr="009A05C9">
        <w:rPr>
          <w:rFonts w:asciiTheme="majorBidi" w:hAnsiTheme="majorBidi" w:cstheme="majorBidi"/>
          <w:color w:val="000000" w:themeColor="text1"/>
        </w:rPr>
        <w:t xml:space="preserve">/health funds) compared with 6.6% in Area J2.  </w:t>
      </w:r>
    </w:p>
    <w:p w:rsidR="00E4320D" w:rsidRPr="009A05C9" w:rsidRDefault="00E4320D" w:rsidP="0024250E">
      <w:pPr>
        <w:pStyle w:val="BodyText2"/>
        <w:numPr>
          <w:ilvl w:val="0"/>
          <w:numId w:val="15"/>
        </w:numPr>
        <w:tabs>
          <w:tab w:val="left" w:pos="284"/>
        </w:tabs>
        <w:bidi w:val="0"/>
        <w:spacing w:before="80"/>
        <w:ind w:left="284" w:hanging="284"/>
        <w:rPr>
          <w:rFonts w:asciiTheme="majorBidi" w:hAnsiTheme="majorBidi" w:cstheme="majorBidi"/>
          <w:color w:val="000000" w:themeColor="text1"/>
        </w:rPr>
      </w:pPr>
      <w:r w:rsidRPr="009A05C9">
        <w:rPr>
          <w:rFonts w:asciiTheme="majorBidi" w:hAnsiTheme="majorBidi" w:cstheme="majorBidi"/>
          <w:color w:val="000000" w:themeColor="text1"/>
        </w:rPr>
        <w:t xml:space="preserve">In Jerusalem </w:t>
      </w:r>
      <w:r w:rsidR="0024250E">
        <w:rPr>
          <w:rFonts w:asciiTheme="majorBidi" w:hAnsiTheme="majorBidi" w:cstheme="majorBidi"/>
          <w:color w:val="000000" w:themeColor="text1"/>
        </w:rPr>
        <w:t>G</w:t>
      </w:r>
      <w:r w:rsidR="0024250E" w:rsidRPr="009A05C9">
        <w:rPr>
          <w:rFonts w:asciiTheme="majorBidi" w:hAnsiTheme="majorBidi" w:cstheme="majorBidi"/>
          <w:color w:val="000000" w:themeColor="text1"/>
        </w:rPr>
        <w:t>overnorate</w:t>
      </w:r>
      <w:r w:rsidRPr="009A05C9">
        <w:rPr>
          <w:rFonts w:asciiTheme="majorBidi" w:hAnsiTheme="majorBidi" w:cstheme="majorBidi"/>
          <w:color w:val="000000" w:themeColor="text1"/>
        </w:rPr>
        <w:t>, 5.6% of the</w:t>
      </w:r>
      <w:r w:rsidR="0024250E">
        <w:rPr>
          <w:rFonts w:asciiTheme="majorBidi" w:hAnsiTheme="majorBidi" w:cstheme="majorBidi"/>
          <w:color w:val="000000" w:themeColor="text1"/>
        </w:rPr>
        <w:t xml:space="preserve"> population</w:t>
      </w:r>
      <w:r w:rsidRPr="009A05C9">
        <w:rPr>
          <w:rFonts w:asciiTheme="majorBidi" w:hAnsiTheme="majorBidi" w:cstheme="majorBidi"/>
          <w:color w:val="000000" w:themeColor="text1"/>
        </w:rPr>
        <w:t xml:space="preserve"> receive treatment for diabetes and 5.4% for high blood pressure in 2013.</w:t>
      </w:r>
    </w:p>
    <w:p w:rsidR="00E4320D" w:rsidRDefault="00E4320D" w:rsidP="00796931">
      <w:pPr>
        <w:jc w:val="both"/>
        <w:rPr>
          <w:b/>
          <w:bCs/>
          <w:color w:val="000000" w:themeColor="text1"/>
        </w:rPr>
      </w:pPr>
    </w:p>
    <w:p w:rsidR="00E4320D" w:rsidRPr="0066744E" w:rsidRDefault="00E4320D" w:rsidP="00796931">
      <w:pPr>
        <w:ind w:left="14"/>
        <w:jc w:val="both"/>
        <w:rPr>
          <w:b/>
          <w:bCs/>
          <w:color w:val="000000" w:themeColor="text1"/>
        </w:rPr>
      </w:pPr>
      <w:r w:rsidRPr="0066744E">
        <w:rPr>
          <w:b/>
          <w:bCs/>
          <w:color w:val="000000" w:themeColor="text1"/>
        </w:rPr>
        <w:t xml:space="preserve">Labor Force </w:t>
      </w:r>
    </w:p>
    <w:p w:rsidR="00E4320D" w:rsidRPr="0066744E" w:rsidRDefault="00E4320D" w:rsidP="00796931">
      <w:pPr>
        <w:numPr>
          <w:ilvl w:val="0"/>
          <w:numId w:val="27"/>
        </w:numPr>
        <w:spacing w:before="80"/>
        <w:ind w:left="357" w:right="0" w:hanging="357"/>
        <w:jc w:val="lowKashida"/>
        <w:rPr>
          <w:rFonts w:asciiTheme="majorBidi" w:hAnsiTheme="majorBidi" w:cstheme="majorBidi"/>
          <w:color w:val="000000" w:themeColor="text1"/>
        </w:rPr>
      </w:pPr>
      <w:r w:rsidRPr="0066744E">
        <w:rPr>
          <w:rFonts w:asciiTheme="majorBidi" w:hAnsiTheme="majorBidi" w:cstheme="majorBidi"/>
          <w:color w:val="000000" w:themeColor="text1"/>
        </w:rPr>
        <w:t xml:space="preserve">The labor force participation rate of persons aged 15 years and above in Jerusalem Governorate was 30.3% in 2016: 54.4% for males and </w:t>
      </w:r>
      <w:r w:rsidRPr="0066744E">
        <w:rPr>
          <w:rFonts w:asciiTheme="majorBidi" w:hAnsiTheme="majorBidi" w:cstheme="majorBidi"/>
          <w:color w:val="000000" w:themeColor="text1"/>
          <w:rtl/>
        </w:rPr>
        <w:t>6.</w:t>
      </w:r>
      <w:r w:rsidRPr="0066744E">
        <w:rPr>
          <w:rFonts w:asciiTheme="majorBidi" w:hAnsiTheme="majorBidi" w:cstheme="majorBidi"/>
          <w:color w:val="000000" w:themeColor="text1"/>
        </w:rPr>
        <w:t>6% for females.  The rate was 32.7%, 30.5%</w:t>
      </w:r>
      <w:r w:rsidR="009B7C4B">
        <w:rPr>
          <w:rFonts w:asciiTheme="majorBidi" w:hAnsiTheme="majorBidi" w:cstheme="majorBidi"/>
          <w:color w:val="000000" w:themeColor="text1"/>
        </w:rPr>
        <w:t>,</w:t>
      </w:r>
      <w:r w:rsidRPr="0066744E">
        <w:rPr>
          <w:rFonts w:asciiTheme="majorBidi" w:hAnsiTheme="majorBidi" w:cstheme="majorBidi"/>
          <w:color w:val="000000" w:themeColor="text1"/>
        </w:rPr>
        <w:t xml:space="preserve"> 31.0%,</w:t>
      </w:r>
      <w:r w:rsidR="009B7C4B">
        <w:rPr>
          <w:rFonts w:asciiTheme="majorBidi" w:hAnsiTheme="majorBidi" w:cstheme="majorBidi"/>
          <w:color w:val="000000" w:themeColor="text1"/>
        </w:rPr>
        <w:t xml:space="preserve"> and</w:t>
      </w:r>
      <w:r w:rsidRPr="0066744E">
        <w:rPr>
          <w:rFonts w:asciiTheme="majorBidi" w:hAnsiTheme="majorBidi" w:cstheme="majorBidi"/>
          <w:color w:val="000000" w:themeColor="text1"/>
        </w:rPr>
        <w:t xml:space="preserve"> 29.2% for</w:t>
      </w:r>
      <w:r w:rsidR="00D61FFA">
        <w:rPr>
          <w:rFonts w:asciiTheme="majorBidi" w:hAnsiTheme="majorBidi" w:cstheme="majorBidi"/>
          <w:color w:val="000000" w:themeColor="text1"/>
        </w:rPr>
        <w:t xml:space="preserve"> the years</w:t>
      </w:r>
      <w:r w:rsidRPr="0066744E">
        <w:rPr>
          <w:rFonts w:asciiTheme="majorBidi" w:hAnsiTheme="majorBidi" w:cstheme="majorBidi"/>
          <w:color w:val="000000" w:themeColor="text1"/>
        </w:rPr>
        <w:t xml:space="preserve"> 2012-2015 respectively.</w:t>
      </w:r>
    </w:p>
    <w:p w:rsidR="00E4320D" w:rsidRPr="0066744E" w:rsidRDefault="00E4320D" w:rsidP="00796931">
      <w:pPr>
        <w:numPr>
          <w:ilvl w:val="0"/>
          <w:numId w:val="27"/>
        </w:numPr>
        <w:spacing w:before="80"/>
        <w:ind w:left="357" w:right="0" w:hanging="357"/>
        <w:jc w:val="lowKashida"/>
        <w:rPr>
          <w:rFonts w:asciiTheme="majorBidi" w:hAnsiTheme="majorBidi" w:cstheme="majorBidi"/>
          <w:color w:val="000000" w:themeColor="text1"/>
        </w:rPr>
      </w:pPr>
      <w:r w:rsidRPr="0066744E">
        <w:rPr>
          <w:rFonts w:asciiTheme="majorBidi" w:hAnsiTheme="majorBidi" w:cstheme="majorBidi"/>
          <w:color w:val="000000" w:themeColor="text1"/>
        </w:rPr>
        <w:t>Employment rates in Jerusalem Governorate were 82.2%, 82.4%, 81.0</w:t>
      </w:r>
      <w:r w:rsidR="00C57589">
        <w:rPr>
          <w:rFonts w:asciiTheme="majorBidi" w:hAnsiTheme="majorBidi" w:cstheme="majorBidi"/>
          <w:color w:val="000000" w:themeColor="text1"/>
        </w:rPr>
        <w:t>%</w:t>
      </w:r>
      <w:r w:rsidRPr="0066744E">
        <w:rPr>
          <w:rFonts w:asciiTheme="majorBidi" w:hAnsiTheme="majorBidi" w:cstheme="majorBidi"/>
          <w:color w:val="000000" w:themeColor="text1"/>
        </w:rPr>
        <w:t>,86.1% and 84.6% for</w:t>
      </w:r>
      <w:r w:rsidR="00D61FFA">
        <w:rPr>
          <w:rFonts w:asciiTheme="majorBidi" w:hAnsiTheme="majorBidi" w:cstheme="majorBidi"/>
          <w:color w:val="000000" w:themeColor="text1"/>
        </w:rPr>
        <w:t xml:space="preserve"> the years</w:t>
      </w:r>
      <w:r w:rsidRPr="0066744E">
        <w:rPr>
          <w:rFonts w:asciiTheme="majorBidi" w:hAnsiTheme="majorBidi" w:cstheme="majorBidi"/>
          <w:color w:val="000000" w:themeColor="text1"/>
        </w:rPr>
        <w:t xml:space="preserve"> 2012– 2016 respectively. </w:t>
      </w:r>
    </w:p>
    <w:p w:rsidR="00E4320D" w:rsidRPr="0066744E" w:rsidRDefault="00E4320D" w:rsidP="00796931">
      <w:pPr>
        <w:numPr>
          <w:ilvl w:val="0"/>
          <w:numId w:val="27"/>
        </w:numPr>
        <w:spacing w:before="80"/>
        <w:ind w:left="357" w:right="0" w:hanging="357"/>
        <w:jc w:val="lowKashida"/>
        <w:rPr>
          <w:rFonts w:asciiTheme="majorBidi" w:hAnsiTheme="majorBidi" w:cstheme="majorBidi"/>
          <w:color w:val="000000" w:themeColor="text1"/>
        </w:rPr>
      </w:pPr>
      <w:r w:rsidRPr="0066744E">
        <w:rPr>
          <w:rFonts w:asciiTheme="majorBidi" w:hAnsiTheme="majorBidi" w:cstheme="majorBidi"/>
          <w:color w:val="000000" w:themeColor="text1"/>
        </w:rPr>
        <w:t>The unemployment rate in Jerusalem Governorate of persons aged 15 years and above was 15.4% in 2016 compared with 17.8%, 17.6%, 19.0% and 13.9% for</w:t>
      </w:r>
      <w:r w:rsidR="00D61FFA">
        <w:rPr>
          <w:rFonts w:asciiTheme="majorBidi" w:hAnsiTheme="majorBidi" w:cstheme="majorBidi"/>
          <w:color w:val="000000" w:themeColor="text1"/>
        </w:rPr>
        <w:t xml:space="preserve"> the years</w:t>
      </w:r>
      <w:r w:rsidRPr="0066744E">
        <w:rPr>
          <w:rFonts w:asciiTheme="majorBidi" w:hAnsiTheme="majorBidi" w:cstheme="majorBidi"/>
          <w:color w:val="000000" w:themeColor="text1"/>
        </w:rPr>
        <w:t xml:space="preserve"> 2012-2015 respectively.</w:t>
      </w:r>
    </w:p>
    <w:p w:rsidR="00E4320D" w:rsidRPr="0066744E" w:rsidRDefault="00E4320D" w:rsidP="00796931">
      <w:pPr>
        <w:numPr>
          <w:ilvl w:val="0"/>
          <w:numId w:val="27"/>
        </w:numPr>
        <w:spacing w:before="80"/>
        <w:ind w:left="357" w:right="0" w:hanging="357"/>
        <w:jc w:val="lowKashida"/>
        <w:rPr>
          <w:rFonts w:asciiTheme="majorBidi" w:hAnsiTheme="majorBidi" w:cstheme="majorBidi"/>
          <w:color w:val="000000" w:themeColor="text1"/>
        </w:rPr>
      </w:pPr>
      <w:r w:rsidRPr="0066744E">
        <w:rPr>
          <w:rFonts w:asciiTheme="majorBidi" w:hAnsiTheme="majorBidi" w:cstheme="majorBidi"/>
          <w:color w:val="000000" w:themeColor="text1"/>
        </w:rPr>
        <w:t>Employed persons in Jerusalem Governorate distributed by employment status in 2016 were as follows: 3.7% employers, 14.2% self-employed, 81.6</w:t>
      </w:r>
      <w:r w:rsidR="009B7C4B">
        <w:rPr>
          <w:rFonts w:asciiTheme="majorBidi" w:hAnsiTheme="majorBidi" w:cstheme="majorBidi"/>
          <w:color w:val="000000" w:themeColor="text1"/>
        </w:rPr>
        <w:t xml:space="preserve"> </w:t>
      </w:r>
      <w:r w:rsidRPr="0066744E">
        <w:rPr>
          <w:rFonts w:asciiTheme="majorBidi" w:hAnsiTheme="majorBidi" w:cstheme="majorBidi"/>
          <w:color w:val="000000" w:themeColor="text1"/>
        </w:rPr>
        <w:t>% wage employee and 0.5% unpaid family member.</w:t>
      </w:r>
    </w:p>
    <w:p w:rsidR="00E4320D" w:rsidRPr="0066744E" w:rsidRDefault="00E4320D" w:rsidP="00796931">
      <w:pPr>
        <w:ind w:left="-360"/>
        <w:jc w:val="lowKashida"/>
        <w:rPr>
          <w:rFonts w:cs="Simplified Arabic"/>
          <w:color w:val="000000" w:themeColor="text1"/>
        </w:rPr>
      </w:pPr>
    </w:p>
    <w:p w:rsidR="00E4320D" w:rsidRPr="0066744E" w:rsidRDefault="00E4320D" w:rsidP="00796931">
      <w:pPr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66744E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Percentage Distribution of Employed Persons from Jerusalem Governorate by Employment Status, </w:t>
      </w:r>
      <w:r w:rsidRPr="0066744E">
        <w:rPr>
          <w:rFonts w:ascii="Arial" w:hAnsi="Arial" w:cs="Arial" w:hint="cs"/>
          <w:b/>
          <w:bCs/>
          <w:color w:val="000000" w:themeColor="text1"/>
          <w:sz w:val="18"/>
          <w:szCs w:val="18"/>
          <w:rtl/>
        </w:rPr>
        <w:t>2016</w:t>
      </w:r>
      <w:r w:rsidRPr="0066744E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 </w:t>
      </w:r>
    </w:p>
    <w:p w:rsidR="00E4320D" w:rsidRPr="00796931" w:rsidRDefault="00E4320D" w:rsidP="00796931">
      <w:pPr>
        <w:jc w:val="center"/>
        <w:rPr>
          <w:rFonts w:ascii="Arial" w:hAnsi="Arial" w:cs="Arial"/>
          <w:color w:val="000000" w:themeColor="text1"/>
          <w:sz w:val="6"/>
          <w:szCs w:val="6"/>
        </w:rPr>
      </w:pPr>
    </w:p>
    <w:p w:rsidR="00E4320D" w:rsidRPr="0066744E" w:rsidRDefault="00E4320D" w:rsidP="00796931">
      <w:pPr>
        <w:jc w:val="center"/>
        <w:rPr>
          <w:rFonts w:ascii="Arial" w:hAnsi="Arial" w:cs="Arial"/>
          <w:color w:val="000000" w:themeColor="text1"/>
          <w:sz w:val="10"/>
          <w:szCs w:val="10"/>
        </w:rPr>
      </w:pPr>
      <w:r w:rsidRPr="0066744E">
        <w:rPr>
          <w:rFonts w:ascii="Arial" w:hAnsi="Arial" w:cs="Arial"/>
          <w:noProof/>
          <w:color w:val="000000" w:themeColor="text1"/>
          <w:sz w:val="10"/>
          <w:szCs w:val="10"/>
          <w:bdr w:val="single" w:sz="4" w:space="0" w:color="auto"/>
        </w:rPr>
        <w:drawing>
          <wp:inline distT="0" distB="0" distL="0" distR="0">
            <wp:extent cx="4340180" cy="1732209"/>
            <wp:effectExtent l="0" t="0" r="0" b="0"/>
            <wp:docPr id="5" name="Object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796931" w:rsidRDefault="00796931" w:rsidP="00796931">
      <w:pPr>
        <w:jc w:val="both"/>
        <w:rPr>
          <w:b/>
          <w:bCs/>
          <w:color w:val="000000" w:themeColor="text1"/>
        </w:rPr>
      </w:pPr>
    </w:p>
    <w:p w:rsidR="00E4320D" w:rsidRPr="0066744E" w:rsidRDefault="00E4320D" w:rsidP="00796931">
      <w:pPr>
        <w:jc w:val="both"/>
        <w:rPr>
          <w:b/>
          <w:bCs/>
          <w:color w:val="000000" w:themeColor="text1"/>
        </w:rPr>
      </w:pPr>
      <w:r w:rsidRPr="0066744E">
        <w:rPr>
          <w:b/>
          <w:bCs/>
          <w:color w:val="000000" w:themeColor="text1"/>
        </w:rPr>
        <w:t>Living Standards</w:t>
      </w:r>
    </w:p>
    <w:p w:rsidR="00E4320D" w:rsidRPr="0066744E" w:rsidRDefault="00E4320D" w:rsidP="00D61FFA">
      <w:pPr>
        <w:pStyle w:val="BodyText2"/>
        <w:numPr>
          <w:ilvl w:val="0"/>
          <w:numId w:val="15"/>
        </w:numPr>
        <w:tabs>
          <w:tab w:val="left" w:pos="284"/>
        </w:tabs>
        <w:bidi w:val="0"/>
        <w:spacing w:before="80"/>
        <w:ind w:left="284" w:hanging="284"/>
        <w:rPr>
          <w:color w:val="000000" w:themeColor="text1"/>
        </w:rPr>
      </w:pPr>
      <w:r w:rsidRPr="0066744E">
        <w:rPr>
          <w:color w:val="000000" w:themeColor="text1"/>
        </w:rPr>
        <w:t xml:space="preserve">Income from wages earned from </w:t>
      </w:r>
      <w:r w:rsidR="00D61FFA" w:rsidRPr="0066744E">
        <w:rPr>
          <w:color w:val="000000" w:themeColor="text1"/>
        </w:rPr>
        <w:t>employ</w:t>
      </w:r>
      <w:r w:rsidR="00D61FFA">
        <w:rPr>
          <w:color w:val="000000" w:themeColor="text1"/>
        </w:rPr>
        <w:t>ment</w:t>
      </w:r>
      <w:r w:rsidRPr="0066744E">
        <w:rPr>
          <w:color w:val="000000" w:themeColor="text1"/>
        </w:rPr>
        <w:t xml:space="preserve"> in Israel</w:t>
      </w:r>
      <w:r w:rsidRPr="0066744E" w:rsidDel="00E06D2A">
        <w:rPr>
          <w:color w:val="000000" w:themeColor="text1"/>
        </w:rPr>
        <w:t xml:space="preserve"> </w:t>
      </w:r>
      <w:r w:rsidRPr="0066744E">
        <w:rPr>
          <w:color w:val="000000" w:themeColor="text1"/>
        </w:rPr>
        <w:t xml:space="preserve">is the main source of household income for 40.0% of households in Jerusalem Governorate (54.2% in Area J1 and 15.2% in Area J2). Income from the private sector made up 23.1% (13.1% in Area J1 and 40.3% in Area J2) and income from national insurance allowances was the main </w:t>
      </w:r>
      <w:r w:rsidRPr="0066744E">
        <w:rPr>
          <w:color w:val="000000" w:themeColor="text1"/>
        </w:rPr>
        <w:lastRenderedPageBreak/>
        <w:t>source of income for 13.6% (21.3% in Area J1 and 0.5% in Area J2). Wages from the government sector contributed 7.8% (2.2% in Area J1 and 17.5% in Area J2).</w:t>
      </w:r>
    </w:p>
    <w:p w:rsidR="00E4320D" w:rsidRDefault="00E4320D" w:rsidP="00796931">
      <w:pPr>
        <w:pStyle w:val="BodyText2"/>
        <w:numPr>
          <w:ilvl w:val="0"/>
          <w:numId w:val="15"/>
        </w:numPr>
        <w:tabs>
          <w:tab w:val="left" w:pos="284"/>
        </w:tabs>
        <w:bidi w:val="0"/>
        <w:spacing w:before="80"/>
        <w:ind w:left="284" w:hanging="284"/>
        <w:rPr>
          <w:color w:val="000000" w:themeColor="text1"/>
        </w:rPr>
      </w:pPr>
      <w:r w:rsidRPr="0066744E">
        <w:rPr>
          <w:color w:val="000000" w:themeColor="text1"/>
        </w:rPr>
        <w:t>Around 31.6% of</w:t>
      </w:r>
      <w:r w:rsidR="00D61FFA">
        <w:rPr>
          <w:color w:val="000000" w:themeColor="text1"/>
        </w:rPr>
        <w:t xml:space="preserve"> the</w:t>
      </w:r>
      <w:r w:rsidRPr="0066744E">
        <w:rPr>
          <w:color w:val="000000" w:themeColor="text1"/>
        </w:rPr>
        <w:t xml:space="preserve"> Palestinian households in Jerusalem Governorate described their standard of living as well, 64.3% described it as “fairly good”, 3.7% as poor and 0.4% as very poor.</w:t>
      </w:r>
    </w:p>
    <w:p w:rsidR="00846B7B" w:rsidRDefault="00846B7B" w:rsidP="00796931">
      <w:pPr>
        <w:pStyle w:val="ListParagraph"/>
        <w:rPr>
          <w:color w:val="000000" w:themeColor="text1"/>
        </w:rPr>
      </w:pPr>
    </w:p>
    <w:p w:rsidR="00846B7B" w:rsidRPr="007F1511" w:rsidRDefault="00846B7B" w:rsidP="00796931">
      <w:pPr>
        <w:jc w:val="center"/>
        <w:rPr>
          <w:b/>
          <w:bCs/>
          <w:sz w:val="18"/>
          <w:szCs w:val="18"/>
        </w:rPr>
      </w:pPr>
      <w:r w:rsidRPr="007F1511">
        <w:rPr>
          <w:rFonts w:ascii="Arial" w:hAnsi="Arial" w:cs="Arial"/>
          <w:b/>
          <w:bCs/>
          <w:sz w:val="18"/>
          <w:szCs w:val="18"/>
        </w:rPr>
        <w:t>Percentage Distribution of Palestinian Households in Jerusalem Governorate by Living Standard from Viewpoint of Household and Area, 2013</w:t>
      </w:r>
    </w:p>
    <w:p w:rsidR="00E4320D" w:rsidRPr="00A52BFB" w:rsidRDefault="00E4320D" w:rsidP="00796931">
      <w:pPr>
        <w:pStyle w:val="ListParagraph"/>
        <w:rPr>
          <w:color w:val="000000" w:themeColor="text1"/>
          <w:sz w:val="6"/>
          <w:szCs w:val="6"/>
        </w:rPr>
      </w:pPr>
    </w:p>
    <w:p w:rsidR="00E4320D" w:rsidRPr="0066744E" w:rsidRDefault="00C458EA" w:rsidP="00A52BFB">
      <w:pPr>
        <w:pStyle w:val="BodyText2"/>
        <w:tabs>
          <w:tab w:val="left" w:pos="-851"/>
        </w:tabs>
        <w:bidi w:val="0"/>
        <w:jc w:val="center"/>
        <w:rPr>
          <w:color w:val="000000" w:themeColor="text1"/>
        </w:rPr>
      </w:pPr>
      <w:r>
        <w:rPr>
          <w:noProof/>
          <w:color w:val="000000" w:themeColor="text1"/>
        </w:rPr>
        <w:drawing>
          <wp:inline distT="0" distB="0" distL="0" distR="0">
            <wp:extent cx="4255200" cy="2073404"/>
            <wp:effectExtent l="19050" t="19050" r="12000" b="22096"/>
            <wp:docPr id="4" name="Picture 1" descr="C:\Users\rsarawan\Desktop\خرائط مستعمرين لابو جهاد\E_Quds_Liv_C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sarawan\Desktop\خرائط مستعمرين لابو جهاد\E_Quds_Liv_Con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127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5200" cy="207340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6F32" w:rsidRPr="00A52BFB" w:rsidRDefault="00396F32" w:rsidP="00796931">
      <w:pPr>
        <w:jc w:val="lowKashida"/>
        <w:rPr>
          <w:rFonts w:ascii="Arial" w:hAnsi="Arial" w:cs="Arial"/>
          <w:b/>
          <w:bCs/>
          <w:color w:val="FF0000"/>
        </w:rPr>
      </w:pPr>
    </w:p>
    <w:p w:rsidR="008643D6" w:rsidRDefault="008643D6" w:rsidP="00796931">
      <w:pPr>
        <w:jc w:val="lowKashida"/>
        <w:rPr>
          <w:b/>
          <w:bCs/>
          <w:color w:val="000000" w:themeColor="text1"/>
          <w:sz w:val="18"/>
          <w:szCs w:val="18"/>
          <w:lang w:val="en-GB"/>
        </w:rPr>
      </w:pPr>
      <w:r w:rsidRPr="009A05C9">
        <w:rPr>
          <w:b/>
          <w:bCs/>
          <w:color w:val="000000" w:themeColor="text1"/>
        </w:rPr>
        <w:t>Education</w:t>
      </w:r>
      <w:r w:rsidRPr="009A05C9">
        <w:rPr>
          <w:rStyle w:val="FootnoteReference"/>
          <w:b/>
          <w:bCs/>
          <w:color w:val="000000" w:themeColor="text1"/>
          <w:sz w:val="18"/>
          <w:szCs w:val="18"/>
          <w:rtl/>
        </w:rPr>
        <w:t xml:space="preserve"> </w:t>
      </w:r>
    </w:p>
    <w:p w:rsidR="00A52BFB" w:rsidRPr="00A52BFB" w:rsidRDefault="00A52BFB" w:rsidP="00796931">
      <w:pPr>
        <w:jc w:val="lowKashida"/>
        <w:rPr>
          <w:b/>
          <w:bCs/>
          <w:color w:val="000000" w:themeColor="text1"/>
          <w:sz w:val="12"/>
          <w:szCs w:val="12"/>
          <w:lang w:val="en-GB"/>
        </w:rPr>
      </w:pPr>
    </w:p>
    <w:p w:rsidR="008D1E0E" w:rsidRPr="009A05C9" w:rsidRDefault="008D1E0E" w:rsidP="00796931">
      <w:pPr>
        <w:tabs>
          <w:tab w:val="left" w:pos="284"/>
        </w:tabs>
        <w:jc w:val="lowKashida"/>
        <w:rPr>
          <w:b/>
          <w:bCs/>
          <w:color w:val="000000" w:themeColor="text1"/>
        </w:rPr>
      </w:pPr>
      <w:r w:rsidRPr="009A05C9">
        <w:rPr>
          <w:b/>
          <w:bCs/>
          <w:color w:val="000000" w:themeColor="text1"/>
        </w:rPr>
        <w:t>1.   Schools</w:t>
      </w:r>
      <w:r w:rsidR="000375C3" w:rsidRPr="009A05C9">
        <w:rPr>
          <w:rStyle w:val="FootnoteReference"/>
          <w:b/>
          <w:bCs/>
          <w:color w:val="000000" w:themeColor="text1"/>
          <w:sz w:val="18"/>
          <w:szCs w:val="18"/>
          <w:rtl/>
        </w:rPr>
        <w:footnoteReference w:id="1"/>
      </w:r>
      <w:r w:rsidRPr="009A05C9">
        <w:rPr>
          <w:b/>
          <w:bCs/>
          <w:color w:val="000000" w:themeColor="text1"/>
        </w:rPr>
        <w:t xml:space="preserve"> </w:t>
      </w:r>
    </w:p>
    <w:p w:rsidR="009A05C9" w:rsidRPr="009A05C9" w:rsidRDefault="009A05C9" w:rsidP="00A52BFB">
      <w:pPr>
        <w:pStyle w:val="BodyText2"/>
        <w:numPr>
          <w:ilvl w:val="0"/>
          <w:numId w:val="15"/>
        </w:numPr>
        <w:tabs>
          <w:tab w:val="left" w:pos="284"/>
        </w:tabs>
        <w:bidi w:val="0"/>
        <w:spacing w:before="80"/>
        <w:ind w:left="284" w:hanging="284"/>
        <w:rPr>
          <w:color w:val="000000" w:themeColor="text1"/>
        </w:rPr>
      </w:pPr>
      <w:r w:rsidRPr="009A05C9">
        <w:rPr>
          <w:color w:val="000000" w:themeColor="text1"/>
        </w:rPr>
        <w:t>In scholastic year 2016/2017, there were 258 schools.</w:t>
      </w:r>
    </w:p>
    <w:p w:rsidR="009A05C9" w:rsidRPr="009A05C9" w:rsidRDefault="009A05C9" w:rsidP="00A52BFB">
      <w:pPr>
        <w:pStyle w:val="BodyText2"/>
        <w:numPr>
          <w:ilvl w:val="0"/>
          <w:numId w:val="15"/>
        </w:numPr>
        <w:tabs>
          <w:tab w:val="left" w:pos="284"/>
        </w:tabs>
        <w:bidi w:val="0"/>
        <w:spacing w:before="80"/>
        <w:ind w:left="284" w:hanging="284"/>
        <w:rPr>
          <w:color w:val="000000" w:themeColor="text1"/>
        </w:rPr>
      </w:pPr>
      <w:r w:rsidRPr="009A05C9">
        <w:rPr>
          <w:color w:val="000000" w:themeColor="text1"/>
        </w:rPr>
        <w:t xml:space="preserve">In scholastic year 2016/2017, there were 72,883 school students: 35,336 males and 37,547 females. </w:t>
      </w:r>
    </w:p>
    <w:p w:rsidR="009A05C9" w:rsidRPr="009A05C9" w:rsidRDefault="009A05C9" w:rsidP="00A52BFB">
      <w:pPr>
        <w:pStyle w:val="BodyText2"/>
        <w:numPr>
          <w:ilvl w:val="0"/>
          <w:numId w:val="15"/>
        </w:numPr>
        <w:tabs>
          <w:tab w:val="left" w:pos="284"/>
        </w:tabs>
        <w:bidi w:val="0"/>
        <w:spacing w:before="80"/>
        <w:ind w:left="284" w:hanging="284"/>
        <w:rPr>
          <w:color w:val="000000" w:themeColor="text1"/>
        </w:rPr>
      </w:pPr>
      <w:r w:rsidRPr="009A05C9">
        <w:rPr>
          <w:color w:val="000000" w:themeColor="text1"/>
        </w:rPr>
        <w:t>In scholastic year 2016/2017, the average number of students per teacher was 17.2 in government schools, 22.0 in UNRWA schools and 15.7 in private schools.</w:t>
      </w:r>
    </w:p>
    <w:p w:rsidR="009A05C9" w:rsidRPr="009A05C9" w:rsidRDefault="009A05C9" w:rsidP="00A52BFB">
      <w:pPr>
        <w:pStyle w:val="BodyText2"/>
        <w:numPr>
          <w:ilvl w:val="0"/>
          <w:numId w:val="15"/>
        </w:numPr>
        <w:tabs>
          <w:tab w:val="left" w:pos="284"/>
        </w:tabs>
        <w:bidi w:val="0"/>
        <w:spacing w:before="80"/>
        <w:ind w:left="284" w:hanging="284"/>
        <w:rPr>
          <w:color w:val="000000" w:themeColor="text1"/>
        </w:rPr>
      </w:pPr>
      <w:r w:rsidRPr="009A05C9">
        <w:rPr>
          <w:color w:val="000000" w:themeColor="text1"/>
        </w:rPr>
        <w:t>In scholastic year 2016/2017, the average number of students per class was 23.3 in government schools, 30.0 in UNRWA schools and 23.8 in private schools.</w:t>
      </w:r>
    </w:p>
    <w:p w:rsidR="00294CED" w:rsidRDefault="00294CED" w:rsidP="00796931">
      <w:pPr>
        <w:pStyle w:val="BodyText2"/>
        <w:tabs>
          <w:tab w:val="left" w:pos="284"/>
        </w:tabs>
        <w:bidi w:val="0"/>
        <w:rPr>
          <w:b/>
          <w:bCs/>
          <w:color w:val="FF0000"/>
        </w:rPr>
      </w:pPr>
    </w:p>
    <w:p w:rsidR="008D1E0E" w:rsidRPr="009A05C9" w:rsidRDefault="008D1E0E" w:rsidP="00796931">
      <w:pPr>
        <w:pStyle w:val="BodyText2"/>
        <w:tabs>
          <w:tab w:val="left" w:pos="284"/>
        </w:tabs>
        <w:bidi w:val="0"/>
        <w:rPr>
          <w:b/>
          <w:bCs/>
          <w:color w:val="000000" w:themeColor="text1"/>
        </w:rPr>
      </w:pPr>
      <w:r w:rsidRPr="009A05C9">
        <w:rPr>
          <w:b/>
          <w:bCs/>
          <w:color w:val="000000" w:themeColor="text1"/>
        </w:rPr>
        <w:t xml:space="preserve">2.   Higher Education </w:t>
      </w:r>
    </w:p>
    <w:p w:rsidR="009A05C9" w:rsidRPr="009A05C9" w:rsidRDefault="009A05C9" w:rsidP="00A52BFB">
      <w:pPr>
        <w:pStyle w:val="BodyText2"/>
        <w:numPr>
          <w:ilvl w:val="0"/>
          <w:numId w:val="15"/>
        </w:numPr>
        <w:tabs>
          <w:tab w:val="left" w:pos="284"/>
        </w:tabs>
        <w:bidi w:val="0"/>
        <w:spacing w:before="80"/>
        <w:ind w:left="284" w:hanging="284"/>
        <w:rPr>
          <w:color w:val="000000" w:themeColor="text1"/>
        </w:rPr>
      </w:pPr>
      <w:r w:rsidRPr="009A05C9">
        <w:rPr>
          <w:color w:val="000000" w:themeColor="text1"/>
        </w:rPr>
        <w:t xml:space="preserve">In scholastic year 2015/2016, there were </w:t>
      </w:r>
      <w:r w:rsidRPr="009A05C9">
        <w:rPr>
          <w:rFonts w:cs="Times New Roman"/>
          <w:color w:val="000000" w:themeColor="text1"/>
        </w:rPr>
        <w:t>12,887 university students</w:t>
      </w:r>
      <w:r w:rsidRPr="009A05C9">
        <w:rPr>
          <w:color w:val="000000" w:themeColor="text1"/>
        </w:rPr>
        <w:t xml:space="preserve">: </w:t>
      </w:r>
      <w:r w:rsidRPr="009A05C9">
        <w:rPr>
          <w:rFonts w:cs="Times New Roman"/>
          <w:color w:val="000000" w:themeColor="text1"/>
        </w:rPr>
        <w:t>5,565</w:t>
      </w:r>
      <w:r w:rsidRPr="009A05C9">
        <w:rPr>
          <w:color w:val="000000" w:themeColor="text1"/>
        </w:rPr>
        <w:t xml:space="preserve"> males and 7,322 females. </w:t>
      </w:r>
    </w:p>
    <w:p w:rsidR="009A05C9" w:rsidRPr="009A05C9" w:rsidRDefault="009A05C9" w:rsidP="00A52BFB">
      <w:pPr>
        <w:pStyle w:val="BodyText2"/>
        <w:numPr>
          <w:ilvl w:val="0"/>
          <w:numId w:val="15"/>
        </w:numPr>
        <w:tabs>
          <w:tab w:val="left" w:pos="284"/>
        </w:tabs>
        <w:bidi w:val="0"/>
        <w:spacing w:before="80"/>
        <w:ind w:left="284" w:hanging="284"/>
        <w:rPr>
          <w:color w:val="000000" w:themeColor="text1"/>
        </w:rPr>
      </w:pPr>
      <w:r w:rsidRPr="009A05C9">
        <w:rPr>
          <w:color w:val="000000" w:themeColor="text1"/>
        </w:rPr>
        <w:t>In scholastic year 2015/2016, there were 318 college students: 53 males and 265 females.</w:t>
      </w:r>
    </w:p>
    <w:p w:rsidR="009A05C9" w:rsidRPr="009A05C9" w:rsidRDefault="009A05C9" w:rsidP="00A52BFB">
      <w:pPr>
        <w:pStyle w:val="BodyText2"/>
        <w:numPr>
          <w:ilvl w:val="0"/>
          <w:numId w:val="15"/>
        </w:numPr>
        <w:tabs>
          <w:tab w:val="left" w:pos="284"/>
        </w:tabs>
        <w:bidi w:val="0"/>
        <w:spacing w:before="80"/>
        <w:ind w:left="284" w:hanging="284"/>
        <w:rPr>
          <w:color w:val="000000" w:themeColor="text1"/>
        </w:rPr>
      </w:pPr>
      <w:r w:rsidRPr="009A05C9">
        <w:rPr>
          <w:color w:val="000000" w:themeColor="text1"/>
        </w:rPr>
        <w:t xml:space="preserve">In scholastic year 2014/2015, there were </w:t>
      </w:r>
      <w:r w:rsidRPr="009A05C9">
        <w:rPr>
          <w:rFonts w:cs="Times New Roman"/>
          <w:color w:val="000000" w:themeColor="text1"/>
        </w:rPr>
        <w:t>2,726 university graduates</w:t>
      </w:r>
      <w:r w:rsidRPr="009A05C9">
        <w:rPr>
          <w:color w:val="000000" w:themeColor="text1"/>
        </w:rPr>
        <w:t xml:space="preserve">: </w:t>
      </w:r>
      <w:r w:rsidRPr="009A05C9">
        <w:rPr>
          <w:rFonts w:cs="Times New Roman"/>
          <w:color w:val="000000" w:themeColor="text1"/>
        </w:rPr>
        <w:t>1,190</w:t>
      </w:r>
      <w:r w:rsidRPr="009A05C9">
        <w:rPr>
          <w:color w:val="000000" w:themeColor="text1"/>
        </w:rPr>
        <w:t xml:space="preserve"> males and 1,536 females. </w:t>
      </w:r>
    </w:p>
    <w:p w:rsidR="009A05C9" w:rsidRPr="009A05C9" w:rsidRDefault="009A05C9" w:rsidP="00A52BFB">
      <w:pPr>
        <w:pStyle w:val="BodyText2"/>
        <w:numPr>
          <w:ilvl w:val="0"/>
          <w:numId w:val="15"/>
        </w:numPr>
        <w:tabs>
          <w:tab w:val="left" w:pos="284"/>
        </w:tabs>
        <w:bidi w:val="0"/>
        <w:spacing w:before="80"/>
        <w:ind w:left="284" w:hanging="284"/>
        <w:rPr>
          <w:color w:val="000000" w:themeColor="text1"/>
        </w:rPr>
      </w:pPr>
      <w:r w:rsidRPr="009A05C9">
        <w:rPr>
          <w:color w:val="000000" w:themeColor="text1"/>
        </w:rPr>
        <w:t>In scholastic year 2014/2015, there were 121 college graduates: 21 males and 100 females.</w:t>
      </w:r>
    </w:p>
    <w:p w:rsidR="009A05C9" w:rsidRPr="00294CED" w:rsidRDefault="009A05C9" w:rsidP="00796931">
      <w:pPr>
        <w:jc w:val="lowKashida"/>
        <w:rPr>
          <w:b/>
          <w:bCs/>
          <w:color w:val="FF0000"/>
          <w:sz w:val="16"/>
          <w:szCs w:val="16"/>
        </w:rPr>
      </w:pPr>
    </w:p>
    <w:p w:rsidR="008643D6" w:rsidRPr="009A05C9" w:rsidRDefault="008643D6" w:rsidP="00796931">
      <w:pPr>
        <w:jc w:val="lowKashida"/>
        <w:rPr>
          <w:b/>
          <w:bCs/>
          <w:i/>
          <w:iCs/>
          <w:color w:val="000000" w:themeColor="text1"/>
        </w:rPr>
      </w:pPr>
      <w:r w:rsidRPr="009A05C9">
        <w:rPr>
          <w:b/>
          <w:bCs/>
          <w:color w:val="000000" w:themeColor="text1"/>
        </w:rPr>
        <w:t xml:space="preserve">Culture </w:t>
      </w:r>
    </w:p>
    <w:p w:rsidR="009A05C9" w:rsidRDefault="009A05C9" w:rsidP="00653020">
      <w:pPr>
        <w:pStyle w:val="BodyText2"/>
        <w:numPr>
          <w:ilvl w:val="0"/>
          <w:numId w:val="15"/>
        </w:numPr>
        <w:tabs>
          <w:tab w:val="left" w:pos="284"/>
        </w:tabs>
        <w:bidi w:val="0"/>
        <w:spacing w:before="80"/>
        <w:ind w:left="284" w:hanging="284"/>
        <w:rPr>
          <w:rFonts w:asciiTheme="majorBidi" w:hAnsiTheme="majorBidi" w:cstheme="majorBidi"/>
          <w:color w:val="000000" w:themeColor="text1"/>
        </w:rPr>
      </w:pPr>
      <w:r w:rsidRPr="009A05C9">
        <w:rPr>
          <w:rFonts w:asciiTheme="majorBidi" w:hAnsiTheme="majorBidi" w:cstheme="majorBidi"/>
          <w:color w:val="000000" w:themeColor="text1"/>
        </w:rPr>
        <w:t xml:space="preserve">In 2016, there were 48 licensed cultural centers operating in Jerusalem </w:t>
      </w:r>
      <w:r w:rsidR="00653020">
        <w:rPr>
          <w:rFonts w:asciiTheme="majorBidi" w:hAnsiTheme="majorBidi" w:cstheme="majorBidi"/>
          <w:color w:val="000000" w:themeColor="text1"/>
        </w:rPr>
        <w:t>G</w:t>
      </w:r>
      <w:r w:rsidR="00653020" w:rsidRPr="009A05C9">
        <w:rPr>
          <w:rFonts w:asciiTheme="majorBidi" w:hAnsiTheme="majorBidi" w:cstheme="majorBidi"/>
          <w:color w:val="000000" w:themeColor="text1"/>
        </w:rPr>
        <w:t>overnorate</w:t>
      </w:r>
      <w:r w:rsidRPr="009A05C9">
        <w:rPr>
          <w:rFonts w:asciiTheme="majorBidi" w:hAnsiTheme="majorBidi" w:cstheme="majorBidi"/>
          <w:color w:val="000000" w:themeColor="text1"/>
        </w:rPr>
        <w:t>.</w:t>
      </w:r>
    </w:p>
    <w:p w:rsidR="009B7C4B" w:rsidRPr="009B7C4B" w:rsidRDefault="009B7C4B" w:rsidP="00653020">
      <w:pPr>
        <w:pStyle w:val="BodyText2"/>
        <w:numPr>
          <w:ilvl w:val="0"/>
          <w:numId w:val="15"/>
        </w:numPr>
        <w:tabs>
          <w:tab w:val="left" w:pos="284"/>
        </w:tabs>
        <w:bidi w:val="0"/>
        <w:spacing w:before="80"/>
        <w:ind w:left="284" w:hanging="284"/>
        <w:rPr>
          <w:rFonts w:asciiTheme="majorBidi" w:hAnsiTheme="majorBidi" w:cstheme="majorBidi"/>
          <w:color w:val="000000" w:themeColor="text1"/>
        </w:rPr>
      </w:pPr>
      <w:r w:rsidRPr="009A05C9">
        <w:rPr>
          <w:rFonts w:asciiTheme="majorBidi" w:hAnsiTheme="majorBidi" w:cstheme="majorBidi"/>
          <w:color w:val="000000" w:themeColor="text1"/>
        </w:rPr>
        <w:t xml:space="preserve">In 2016, there </w:t>
      </w:r>
      <w:r w:rsidR="00653020" w:rsidRPr="009A05C9">
        <w:rPr>
          <w:rFonts w:asciiTheme="majorBidi" w:hAnsiTheme="majorBidi" w:cstheme="majorBidi"/>
          <w:color w:val="000000" w:themeColor="text1"/>
        </w:rPr>
        <w:t>w</w:t>
      </w:r>
      <w:r w:rsidR="00653020">
        <w:rPr>
          <w:rFonts w:asciiTheme="majorBidi" w:hAnsiTheme="majorBidi" w:cstheme="majorBidi"/>
          <w:color w:val="000000" w:themeColor="text1"/>
        </w:rPr>
        <w:t>ere</w:t>
      </w:r>
      <w:r w:rsidRPr="009A05C9">
        <w:rPr>
          <w:rFonts w:asciiTheme="majorBidi" w:hAnsiTheme="majorBidi" w:cstheme="majorBidi"/>
          <w:color w:val="000000" w:themeColor="text1"/>
        </w:rPr>
        <w:t xml:space="preserve"> </w:t>
      </w:r>
      <w:r w:rsidRPr="009A05C9">
        <w:rPr>
          <w:rFonts w:asciiTheme="majorBidi" w:hAnsiTheme="majorBidi" w:cstheme="majorBidi"/>
          <w:color w:val="000000" w:themeColor="text1"/>
          <w:rtl/>
        </w:rPr>
        <w:t>4</w:t>
      </w:r>
      <w:r w:rsidRPr="009A05C9">
        <w:rPr>
          <w:rFonts w:asciiTheme="majorBidi" w:hAnsiTheme="majorBidi" w:cstheme="majorBidi"/>
          <w:color w:val="000000" w:themeColor="text1"/>
        </w:rPr>
        <w:t xml:space="preserve"> museums operating in Jerusalem </w:t>
      </w:r>
      <w:r w:rsidR="00653020">
        <w:rPr>
          <w:rFonts w:asciiTheme="majorBidi" w:hAnsiTheme="majorBidi" w:cstheme="majorBidi"/>
          <w:color w:val="000000" w:themeColor="text1"/>
        </w:rPr>
        <w:t>G</w:t>
      </w:r>
      <w:r w:rsidR="00653020" w:rsidRPr="009A05C9">
        <w:rPr>
          <w:rFonts w:asciiTheme="majorBidi" w:hAnsiTheme="majorBidi" w:cstheme="majorBidi"/>
          <w:color w:val="000000" w:themeColor="text1"/>
        </w:rPr>
        <w:t>overnorate</w:t>
      </w:r>
      <w:r w:rsidRPr="009A05C9">
        <w:rPr>
          <w:rFonts w:asciiTheme="majorBidi" w:hAnsiTheme="majorBidi" w:cstheme="majorBidi"/>
          <w:color w:val="000000" w:themeColor="text1"/>
        </w:rPr>
        <w:t>.</w:t>
      </w:r>
    </w:p>
    <w:p w:rsidR="009A05C9" w:rsidRPr="009A05C9" w:rsidRDefault="009A05C9" w:rsidP="00653020">
      <w:pPr>
        <w:pStyle w:val="BodyText2"/>
        <w:numPr>
          <w:ilvl w:val="0"/>
          <w:numId w:val="15"/>
        </w:numPr>
        <w:tabs>
          <w:tab w:val="left" w:pos="284"/>
        </w:tabs>
        <w:bidi w:val="0"/>
        <w:spacing w:before="80"/>
        <w:ind w:left="284" w:hanging="284"/>
        <w:rPr>
          <w:rFonts w:asciiTheme="majorBidi" w:hAnsiTheme="majorBidi" w:cstheme="majorBidi"/>
          <w:color w:val="000000" w:themeColor="text1"/>
        </w:rPr>
      </w:pPr>
      <w:r w:rsidRPr="009A05C9">
        <w:rPr>
          <w:rFonts w:asciiTheme="majorBidi" w:hAnsiTheme="majorBidi" w:cstheme="majorBidi"/>
          <w:color w:val="000000" w:themeColor="text1"/>
        </w:rPr>
        <w:t xml:space="preserve">In 2016, there were 2 theaters operating in Jerusalem </w:t>
      </w:r>
      <w:r w:rsidR="00653020">
        <w:rPr>
          <w:rFonts w:asciiTheme="majorBidi" w:hAnsiTheme="majorBidi" w:cstheme="majorBidi"/>
          <w:color w:val="000000" w:themeColor="text1"/>
        </w:rPr>
        <w:t>G</w:t>
      </w:r>
      <w:r w:rsidR="00653020" w:rsidRPr="009A05C9">
        <w:rPr>
          <w:rFonts w:asciiTheme="majorBidi" w:hAnsiTheme="majorBidi" w:cstheme="majorBidi"/>
          <w:color w:val="000000" w:themeColor="text1"/>
        </w:rPr>
        <w:t>overnorate</w:t>
      </w:r>
      <w:r w:rsidRPr="009A05C9">
        <w:rPr>
          <w:rFonts w:asciiTheme="majorBidi" w:hAnsiTheme="majorBidi" w:cstheme="majorBidi"/>
          <w:color w:val="000000" w:themeColor="text1"/>
        </w:rPr>
        <w:t xml:space="preserve">. </w:t>
      </w:r>
    </w:p>
    <w:p w:rsidR="009A05C9" w:rsidRPr="009A05C9" w:rsidRDefault="009A05C9" w:rsidP="00653020">
      <w:pPr>
        <w:pStyle w:val="BodyText2"/>
        <w:numPr>
          <w:ilvl w:val="0"/>
          <w:numId w:val="15"/>
        </w:numPr>
        <w:tabs>
          <w:tab w:val="left" w:pos="284"/>
        </w:tabs>
        <w:bidi w:val="0"/>
        <w:spacing w:before="80"/>
        <w:ind w:left="284" w:hanging="284"/>
        <w:rPr>
          <w:rFonts w:asciiTheme="majorBidi" w:hAnsiTheme="majorBidi" w:cstheme="majorBidi"/>
          <w:color w:val="000000" w:themeColor="text1"/>
        </w:rPr>
      </w:pPr>
      <w:r w:rsidRPr="009A05C9">
        <w:rPr>
          <w:rFonts w:asciiTheme="majorBidi" w:hAnsiTheme="majorBidi" w:cstheme="majorBidi"/>
          <w:color w:val="000000" w:themeColor="text1"/>
        </w:rPr>
        <w:t xml:space="preserve">In 2015, there were 110 mosques operating in Jerusalem </w:t>
      </w:r>
      <w:r w:rsidR="00653020">
        <w:rPr>
          <w:rFonts w:asciiTheme="majorBidi" w:hAnsiTheme="majorBidi" w:cstheme="majorBidi"/>
          <w:color w:val="000000" w:themeColor="text1"/>
        </w:rPr>
        <w:t>G</w:t>
      </w:r>
      <w:r w:rsidR="00653020" w:rsidRPr="009A05C9">
        <w:rPr>
          <w:rFonts w:asciiTheme="majorBidi" w:hAnsiTheme="majorBidi" w:cstheme="majorBidi"/>
          <w:color w:val="000000" w:themeColor="text1"/>
        </w:rPr>
        <w:t>overnorate</w:t>
      </w:r>
      <w:r w:rsidRPr="009A05C9">
        <w:rPr>
          <w:rFonts w:asciiTheme="majorBidi" w:hAnsiTheme="majorBidi" w:cstheme="majorBidi"/>
          <w:color w:val="000000" w:themeColor="text1"/>
        </w:rPr>
        <w:t>.</w:t>
      </w:r>
    </w:p>
    <w:p w:rsidR="00146BD8" w:rsidRPr="00781036" w:rsidRDefault="00146BD8" w:rsidP="00796931">
      <w:pPr>
        <w:ind w:left="288"/>
        <w:jc w:val="lowKashida"/>
        <w:rPr>
          <w:rFonts w:cs="Traditional Arabic"/>
          <w:b/>
          <w:bCs/>
          <w:color w:val="FF0000"/>
          <w:sz w:val="18"/>
          <w:szCs w:val="18"/>
        </w:rPr>
      </w:pPr>
    </w:p>
    <w:p w:rsidR="002A4A36" w:rsidRPr="001F7902" w:rsidRDefault="002A4A36" w:rsidP="00796931">
      <w:pPr>
        <w:pStyle w:val="BodyText2"/>
        <w:tabs>
          <w:tab w:val="left" w:pos="0"/>
        </w:tabs>
        <w:bidi w:val="0"/>
        <w:rPr>
          <w:b/>
          <w:bCs/>
          <w:color w:val="000000" w:themeColor="text1"/>
        </w:rPr>
      </w:pPr>
      <w:r w:rsidRPr="001F7902">
        <w:rPr>
          <w:b/>
          <w:bCs/>
          <w:color w:val="000000" w:themeColor="text1"/>
        </w:rPr>
        <w:t xml:space="preserve">Information Society </w:t>
      </w:r>
    </w:p>
    <w:p w:rsidR="001F7902" w:rsidRPr="001F7902" w:rsidRDefault="001F7902" w:rsidP="00653020">
      <w:pPr>
        <w:pStyle w:val="BodyText2"/>
        <w:numPr>
          <w:ilvl w:val="0"/>
          <w:numId w:val="15"/>
        </w:numPr>
        <w:tabs>
          <w:tab w:val="left" w:pos="284"/>
        </w:tabs>
        <w:bidi w:val="0"/>
        <w:spacing w:before="80"/>
        <w:ind w:left="284" w:hanging="284"/>
        <w:rPr>
          <w:rFonts w:asciiTheme="majorBidi" w:hAnsiTheme="majorBidi" w:cstheme="majorBidi"/>
          <w:color w:val="000000" w:themeColor="text1"/>
        </w:rPr>
      </w:pPr>
      <w:r w:rsidRPr="001F7902">
        <w:rPr>
          <w:rFonts w:asciiTheme="majorBidi" w:hAnsiTheme="majorBidi" w:cstheme="majorBidi"/>
          <w:color w:val="000000" w:themeColor="text1"/>
        </w:rPr>
        <w:t xml:space="preserve">In 2014, around </w:t>
      </w:r>
      <w:r w:rsidRPr="001F7902">
        <w:rPr>
          <w:rFonts w:asciiTheme="majorBidi" w:hAnsiTheme="majorBidi" w:cstheme="majorBidi"/>
          <w:color w:val="000000" w:themeColor="text1"/>
          <w:rtl/>
        </w:rPr>
        <w:t>62.1</w:t>
      </w:r>
      <w:r w:rsidRPr="001F7902">
        <w:rPr>
          <w:rFonts w:asciiTheme="majorBidi" w:hAnsiTheme="majorBidi" w:cstheme="majorBidi"/>
          <w:color w:val="000000" w:themeColor="text1"/>
        </w:rPr>
        <w:t xml:space="preserve">% of individuals aged </w:t>
      </w:r>
      <w:r w:rsidRPr="001F7902">
        <w:rPr>
          <w:rFonts w:asciiTheme="majorBidi" w:hAnsiTheme="majorBidi" w:cstheme="majorBidi"/>
          <w:color w:val="000000" w:themeColor="text1"/>
          <w:rtl/>
        </w:rPr>
        <w:t>10</w:t>
      </w:r>
      <w:r w:rsidRPr="001F7902">
        <w:rPr>
          <w:rFonts w:asciiTheme="majorBidi" w:hAnsiTheme="majorBidi" w:cstheme="majorBidi"/>
          <w:color w:val="000000" w:themeColor="text1"/>
        </w:rPr>
        <w:t xml:space="preserve"> years and above </w:t>
      </w:r>
      <w:r w:rsidR="00653020" w:rsidRPr="001F7902">
        <w:rPr>
          <w:rFonts w:asciiTheme="majorBidi" w:hAnsiTheme="majorBidi" w:cstheme="majorBidi"/>
          <w:color w:val="000000" w:themeColor="text1"/>
        </w:rPr>
        <w:t>use</w:t>
      </w:r>
      <w:r w:rsidR="00653020">
        <w:rPr>
          <w:rFonts w:asciiTheme="majorBidi" w:hAnsiTheme="majorBidi" w:cstheme="majorBidi"/>
          <w:color w:val="000000" w:themeColor="text1"/>
        </w:rPr>
        <w:t>d</w:t>
      </w:r>
      <w:r w:rsidRPr="001F7902">
        <w:rPr>
          <w:rFonts w:asciiTheme="majorBidi" w:hAnsiTheme="majorBidi" w:cstheme="majorBidi"/>
          <w:color w:val="000000" w:themeColor="text1"/>
        </w:rPr>
        <w:t xml:space="preserve"> a computer; </w:t>
      </w:r>
      <w:r w:rsidRPr="001F7902">
        <w:rPr>
          <w:rFonts w:asciiTheme="majorBidi" w:hAnsiTheme="majorBidi" w:cstheme="majorBidi"/>
          <w:color w:val="000000" w:themeColor="text1"/>
          <w:rtl/>
        </w:rPr>
        <w:t>65.0</w:t>
      </w:r>
      <w:r w:rsidRPr="001F7902">
        <w:rPr>
          <w:rFonts w:asciiTheme="majorBidi" w:hAnsiTheme="majorBidi" w:cstheme="majorBidi"/>
          <w:color w:val="000000" w:themeColor="text1"/>
        </w:rPr>
        <w:t xml:space="preserve">% of individuals aged </w:t>
      </w:r>
      <w:r w:rsidRPr="001F7902">
        <w:rPr>
          <w:rFonts w:asciiTheme="majorBidi" w:hAnsiTheme="majorBidi" w:cstheme="majorBidi"/>
          <w:color w:val="000000" w:themeColor="text1"/>
          <w:rtl/>
        </w:rPr>
        <w:t>10</w:t>
      </w:r>
      <w:r w:rsidRPr="001F7902">
        <w:rPr>
          <w:rFonts w:asciiTheme="majorBidi" w:hAnsiTheme="majorBidi" w:cstheme="majorBidi"/>
          <w:color w:val="000000" w:themeColor="text1"/>
        </w:rPr>
        <w:t xml:space="preserve"> years and above </w:t>
      </w:r>
      <w:r w:rsidR="00653020" w:rsidRPr="001F7902">
        <w:rPr>
          <w:rFonts w:asciiTheme="majorBidi" w:hAnsiTheme="majorBidi" w:cstheme="majorBidi"/>
          <w:color w:val="000000" w:themeColor="text1"/>
        </w:rPr>
        <w:t>use</w:t>
      </w:r>
      <w:r w:rsidR="00653020">
        <w:rPr>
          <w:rFonts w:asciiTheme="majorBidi" w:hAnsiTheme="majorBidi" w:cstheme="majorBidi"/>
          <w:color w:val="000000" w:themeColor="text1"/>
        </w:rPr>
        <w:t>d</w:t>
      </w:r>
      <w:r w:rsidRPr="001F7902">
        <w:rPr>
          <w:rFonts w:asciiTheme="majorBidi" w:hAnsiTheme="majorBidi" w:cstheme="majorBidi"/>
          <w:color w:val="000000" w:themeColor="text1"/>
        </w:rPr>
        <w:t xml:space="preserve"> the Internet, and </w:t>
      </w:r>
      <w:r w:rsidRPr="001F7902">
        <w:rPr>
          <w:rFonts w:asciiTheme="majorBidi" w:hAnsiTheme="majorBidi" w:cstheme="majorBidi"/>
          <w:color w:val="000000" w:themeColor="text1"/>
          <w:rtl/>
        </w:rPr>
        <w:t>78.9</w:t>
      </w:r>
      <w:r w:rsidRPr="001F7902">
        <w:rPr>
          <w:rFonts w:asciiTheme="majorBidi" w:hAnsiTheme="majorBidi" w:cstheme="majorBidi"/>
          <w:color w:val="000000" w:themeColor="text1"/>
        </w:rPr>
        <w:t xml:space="preserve">% </w:t>
      </w:r>
      <w:r w:rsidR="00653020" w:rsidRPr="001F7902">
        <w:rPr>
          <w:rFonts w:asciiTheme="majorBidi" w:hAnsiTheme="majorBidi" w:cstheme="majorBidi"/>
          <w:color w:val="000000" w:themeColor="text1"/>
        </w:rPr>
        <w:t>own</w:t>
      </w:r>
      <w:r w:rsidR="00653020">
        <w:rPr>
          <w:rFonts w:asciiTheme="majorBidi" w:hAnsiTheme="majorBidi" w:cstheme="majorBidi"/>
          <w:color w:val="000000" w:themeColor="text1"/>
        </w:rPr>
        <w:t>ed</w:t>
      </w:r>
      <w:r w:rsidRPr="001F7902">
        <w:rPr>
          <w:rFonts w:asciiTheme="majorBidi" w:hAnsiTheme="majorBidi" w:cstheme="majorBidi"/>
          <w:color w:val="000000" w:themeColor="text1"/>
        </w:rPr>
        <w:t xml:space="preserve"> a mobile phone.</w:t>
      </w:r>
    </w:p>
    <w:p w:rsidR="001F7902" w:rsidRDefault="001F7902" w:rsidP="00653020">
      <w:pPr>
        <w:pStyle w:val="BodyText2"/>
        <w:numPr>
          <w:ilvl w:val="0"/>
          <w:numId w:val="15"/>
        </w:numPr>
        <w:tabs>
          <w:tab w:val="left" w:pos="284"/>
        </w:tabs>
        <w:bidi w:val="0"/>
        <w:spacing w:before="80"/>
        <w:ind w:left="284" w:hanging="284"/>
        <w:rPr>
          <w:rFonts w:asciiTheme="majorBidi" w:hAnsiTheme="majorBidi" w:cstheme="majorBidi"/>
          <w:color w:val="000000" w:themeColor="text1"/>
        </w:rPr>
      </w:pPr>
      <w:r w:rsidRPr="001F7902">
        <w:rPr>
          <w:rFonts w:asciiTheme="majorBidi" w:hAnsiTheme="majorBidi" w:cstheme="majorBidi"/>
          <w:color w:val="000000" w:themeColor="text1"/>
        </w:rPr>
        <w:t xml:space="preserve">In 2014, </w:t>
      </w:r>
      <w:r w:rsidRPr="001F7902">
        <w:rPr>
          <w:rFonts w:asciiTheme="majorBidi" w:hAnsiTheme="majorBidi" w:cstheme="majorBidi"/>
          <w:color w:val="000000" w:themeColor="text1"/>
          <w:rtl/>
        </w:rPr>
        <w:t>69.5</w:t>
      </w:r>
      <w:r w:rsidRPr="001F7902">
        <w:rPr>
          <w:rFonts w:asciiTheme="majorBidi" w:hAnsiTheme="majorBidi" w:cstheme="majorBidi"/>
          <w:color w:val="000000" w:themeColor="text1"/>
        </w:rPr>
        <w:t xml:space="preserve">% of Jerusalem households owned a computer; </w:t>
      </w:r>
      <w:r w:rsidRPr="001F7902">
        <w:rPr>
          <w:rFonts w:asciiTheme="majorBidi" w:hAnsiTheme="majorBidi" w:cstheme="majorBidi"/>
          <w:color w:val="000000" w:themeColor="text1"/>
          <w:rtl/>
        </w:rPr>
        <w:t>21.9</w:t>
      </w:r>
      <w:r w:rsidRPr="001F7902">
        <w:rPr>
          <w:rFonts w:asciiTheme="majorBidi" w:hAnsiTheme="majorBidi" w:cstheme="majorBidi"/>
          <w:color w:val="000000" w:themeColor="text1"/>
        </w:rPr>
        <w:t xml:space="preserve">% of households in Jerusalem Governorate used a Palestinian Internet service compared to </w:t>
      </w:r>
      <w:r w:rsidRPr="001F7902">
        <w:rPr>
          <w:rFonts w:asciiTheme="majorBidi" w:hAnsiTheme="majorBidi" w:cstheme="majorBidi"/>
          <w:color w:val="000000" w:themeColor="text1"/>
          <w:rtl/>
        </w:rPr>
        <w:t>40.6</w:t>
      </w:r>
      <w:r w:rsidRPr="001F7902">
        <w:rPr>
          <w:rFonts w:asciiTheme="majorBidi" w:hAnsiTheme="majorBidi" w:cstheme="majorBidi"/>
          <w:color w:val="000000" w:themeColor="text1"/>
        </w:rPr>
        <w:t xml:space="preserve">% who use an Israeli internet service; </w:t>
      </w:r>
      <w:r w:rsidRPr="001F7902">
        <w:rPr>
          <w:rFonts w:asciiTheme="majorBidi" w:hAnsiTheme="majorBidi" w:cstheme="majorBidi"/>
          <w:color w:val="000000" w:themeColor="text1"/>
          <w:rtl/>
        </w:rPr>
        <w:t>100</w:t>
      </w:r>
      <w:r w:rsidRPr="001F7902">
        <w:rPr>
          <w:rFonts w:asciiTheme="majorBidi" w:hAnsiTheme="majorBidi" w:cstheme="majorBidi"/>
          <w:color w:val="000000" w:themeColor="text1"/>
        </w:rPr>
        <w:t xml:space="preserve">% </w:t>
      </w:r>
      <w:r w:rsidR="00653020" w:rsidRPr="001F7902">
        <w:rPr>
          <w:rFonts w:asciiTheme="majorBidi" w:hAnsiTheme="majorBidi" w:cstheme="majorBidi"/>
          <w:color w:val="000000" w:themeColor="text1"/>
        </w:rPr>
        <w:t>ha</w:t>
      </w:r>
      <w:r w:rsidR="00653020">
        <w:rPr>
          <w:rFonts w:asciiTheme="majorBidi" w:hAnsiTheme="majorBidi" w:cstheme="majorBidi"/>
          <w:color w:val="000000" w:themeColor="text1"/>
        </w:rPr>
        <w:t>d</w:t>
      </w:r>
      <w:r w:rsidRPr="001F7902">
        <w:rPr>
          <w:rFonts w:asciiTheme="majorBidi" w:hAnsiTheme="majorBidi" w:cstheme="majorBidi"/>
          <w:color w:val="000000" w:themeColor="text1"/>
        </w:rPr>
        <w:t xml:space="preserve"> a satellite dish out of total households who </w:t>
      </w:r>
      <w:r w:rsidR="00653020" w:rsidRPr="001F7902">
        <w:rPr>
          <w:rFonts w:asciiTheme="majorBidi" w:hAnsiTheme="majorBidi" w:cstheme="majorBidi"/>
          <w:color w:val="000000" w:themeColor="text1"/>
        </w:rPr>
        <w:t>ha</w:t>
      </w:r>
      <w:r w:rsidR="00653020">
        <w:rPr>
          <w:rFonts w:asciiTheme="majorBidi" w:hAnsiTheme="majorBidi" w:cstheme="majorBidi"/>
          <w:color w:val="000000" w:themeColor="text1"/>
        </w:rPr>
        <w:t>d</w:t>
      </w:r>
      <w:r w:rsidRPr="001F7902">
        <w:rPr>
          <w:rFonts w:asciiTheme="majorBidi" w:hAnsiTheme="majorBidi" w:cstheme="majorBidi"/>
          <w:color w:val="000000" w:themeColor="text1"/>
        </w:rPr>
        <w:t xml:space="preserve"> TV set; 99.1% </w:t>
      </w:r>
      <w:r w:rsidR="00653020" w:rsidRPr="001F7902">
        <w:rPr>
          <w:rFonts w:asciiTheme="majorBidi" w:hAnsiTheme="majorBidi" w:cstheme="majorBidi"/>
          <w:color w:val="000000" w:themeColor="text1"/>
        </w:rPr>
        <w:t>ha</w:t>
      </w:r>
      <w:r w:rsidR="00653020">
        <w:rPr>
          <w:rFonts w:asciiTheme="majorBidi" w:hAnsiTheme="majorBidi" w:cstheme="majorBidi"/>
          <w:color w:val="000000" w:themeColor="text1"/>
        </w:rPr>
        <w:t>d</w:t>
      </w:r>
      <w:r w:rsidRPr="001F7902">
        <w:rPr>
          <w:rFonts w:asciiTheme="majorBidi" w:hAnsiTheme="majorBidi" w:cstheme="majorBidi"/>
          <w:color w:val="000000" w:themeColor="text1"/>
        </w:rPr>
        <w:t xml:space="preserve"> a television; 50.1% </w:t>
      </w:r>
      <w:r w:rsidR="00653020" w:rsidRPr="001F7902">
        <w:rPr>
          <w:rFonts w:asciiTheme="majorBidi" w:hAnsiTheme="majorBidi" w:cstheme="majorBidi"/>
          <w:color w:val="000000" w:themeColor="text1"/>
        </w:rPr>
        <w:t>use</w:t>
      </w:r>
      <w:r w:rsidR="00653020">
        <w:rPr>
          <w:rFonts w:asciiTheme="majorBidi" w:hAnsiTheme="majorBidi" w:cstheme="majorBidi"/>
          <w:color w:val="000000" w:themeColor="text1"/>
        </w:rPr>
        <w:t>d</w:t>
      </w:r>
      <w:r w:rsidRPr="001F7902">
        <w:rPr>
          <w:rFonts w:asciiTheme="majorBidi" w:hAnsiTheme="majorBidi" w:cstheme="majorBidi"/>
          <w:color w:val="000000" w:themeColor="text1"/>
        </w:rPr>
        <w:t xml:space="preserve"> a mobile phone with service from a Palestinian company; and 83.6% </w:t>
      </w:r>
      <w:r w:rsidR="00653020" w:rsidRPr="001F7902">
        <w:rPr>
          <w:rFonts w:asciiTheme="majorBidi" w:hAnsiTheme="majorBidi" w:cstheme="majorBidi"/>
          <w:color w:val="000000" w:themeColor="text1"/>
        </w:rPr>
        <w:t>use</w:t>
      </w:r>
      <w:r w:rsidR="00653020">
        <w:rPr>
          <w:rFonts w:asciiTheme="majorBidi" w:hAnsiTheme="majorBidi" w:cstheme="majorBidi"/>
          <w:color w:val="000000" w:themeColor="text1"/>
        </w:rPr>
        <w:t>d</w:t>
      </w:r>
      <w:r w:rsidRPr="001F7902">
        <w:rPr>
          <w:rFonts w:asciiTheme="majorBidi" w:hAnsiTheme="majorBidi" w:cstheme="majorBidi"/>
          <w:color w:val="000000" w:themeColor="text1"/>
        </w:rPr>
        <w:t xml:space="preserve"> an Israeli company for their mobile phone service.</w:t>
      </w:r>
    </w:p>
    <w:p w:rsidR="007401AF" w:rsidRDefault="007401AF" w:rsidP="00796931">
      <w:pPr>
        <w:pStyle w:val="ListParagraph"/>
        <w:rPr>
          <w:rFonts w:asciiTheme="majorBidi" w:hAnsiTheme="majorBidi" w:cstheme="majorBidi"/>
          <w:color w:val="000000" w:themeColor="text1"/>
        </w:rPr>
      </w:pPr>
    </w:p>
    <w:p w:rsidR="00A52BFB" w:rsidRDefault="001F7902" w:rsidP="00796931">
      <w:pPr>
        <w:pStyle w:val="Header"/>
        <w:tabs>
          <w:tab w:val="clear" w:pos="4153"/>
          <w:tab w:val="clear" w:pos="8306"/>
        </w:tabs>
        <w:jc w:val="center"/>
        <w:outlineLvl w:val="0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1F7902">
        <w:rPr>
          <w:rFonts w:ascii="Arial" w:hAnsi="Arial" w:cs="Arial"/>
          <w:b/>
          <w:bCs/>
          <w:color w:val="000000" w:themeColor="text1"/>
          <w:sz w:val="18"/>
          <w:szCs w:val="18"/>
        </w:rPr>
        <w:t>Percentage of Palestinians (</w:t>
      </w:r>
      <w:r w:rsidRPr="001F7902">
        <w:rPr>
          <w:rFonts w:ascii="Arial" w:hAnsi="Arial" w:cs="Arial" w:hint="cs"/>
          <w:b/>
          <w:bCs/>
          <w:color w:val="000000" w:themeColor="text1"/>
          <w:sz w:val="18"/>
          <w:szCs w:val="18"/>
          <w:rtl/>
        </w:rPr>
        <w:t>10</w:t>
      </w:r>
      <w:r w:rsidRPr="001F7902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 years and above) in Jerusalem Governorate by</w:t>
      </w:r>
    </w:p>
    <w:p w:rsidR="001F7902" w:rsidRPr="001F7902" w:rsidRDefault="001F7902" w:rsidP="00796931">
      <w:pPr>
        <w:pStyle w:val="Header"/>
        <w:tabs>
          <w:tab w:val="clear" w:pos="4153"/>
          <w:tab w:val="clear" w:pos="8306"/>
        </w:tabs>
        <w:jc w:val="center"/>
        <w:outlineLvl w:val="0"/>
        <w:rPr>
          <w:rFonts w:ascii="Arial" w:hAnsi="Arial" w:cs="Arial"/>
          <w:b/>
          <w:bCs/>
          <w:color w:val="000000" w:themeColor="text1"/>
          <w:sz w:val="18"/>
          <w:szCs w:val="18"/>
          <w:rtl/>
        </w:rPr>
      </w:pPr>
      <w:r w:rsidRPr="001F7902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 Use of ICT Tools, </w:t>
      </w:r>
      <w:r w:rsidRPr="001F7902">
        <w:rPr>
          <w:rFonts w:ascii="Arial" w:hAnsi="Arial" w:cs="Arial" w:hint="cs"/>
          <w:b/>
          <w:bCs/>
          <w:color w:val="000000" w:themeColor="text1"/>
          <w:sz w:val="18"/>
          <w:szCs w:val="18"/>
          <w:rtl/>
        </w:rPr>
        <w:t>2014</w:t>
      </w:r>
      <w:r w:rsidRPr="001F7902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  </w:t>
      </w:r>
    </w:p>
    <w:p w:rsidR="001F7902" w:rsidRPr="00A52BFB" w:rsidRDefault="001F7902" w:rsidP="00796931">
      <w:pPr>
        <w:tabs>
          <w:tab w:val="left" w:pos="5867"/>
        </w:tabs>
        <w:ind w:left="1"/>
        <w:rPr>
          <w:rFonts w:cs="Simplified Arabic"/>
          <w:color w:val="000000" w:themeColor="text1"/>
          <w:sz w:val="6"/>
          <w:szCs w:val="6"/>
          <w:rtl/>
        </w:rPr>
      </w:pPr>
      <w:r w:rsidRPr="001F7902">
        <w:rPr>
          <w:rFonts w:cs="Simplified Arabic"/>
          <w:color w:val="000000" w:themeColor="text1"/>
          <w:sz w:val="8"/>
          <w:szCs w:val="8"/>
          <w:rtl/>
        </w:rPr>
        <w:tab/>
      </w:r>
    </w:p>
    <w:p w:rsidR="001F7902" w:rsidRPr="001F7902" w:rsidRDefault="001F7902" w:rsidP="00796931">
      <w:pPr>
        <w:ind w:left="1"/>
        <w:jc w:val="center"/>
        <w:rPr>
          <w:rFonts w:cs="Simplified Arabic"/>
          <w:color w:val="000000" w:themeColor="text1"/>
          <w:sz w:val="24"/>
          <w:szCs w:val="24"/>
          <w:rtl/>
        </w:rPr>
      </w:pPr>
      <w:r w:rsidRPr="001F7902">
        <w:rPr>
          <w:rFonts w:cs="Simplified Arabic"/>
          <w:noProof/>
          <w:color w:val="000000" w:themeColor="text1"/>
          <w:sz w:val="24"/>
          <w:szCs w:val="24"/>
          <w:bdr w:val="single" w:sz="4" w:space="0" w:color="auto"/>
        </w:rPr>
        <w:drawing>
          <wp:inline distT="0" distB="0" distL="0" distR="0">
            <wp:extent cx="4398135" cy="1757966"/>
            <wp:effectExtent l="0" t="0" r="0" b="0"/>
            <wp:docPr id="2" name="Object 2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781036" w:rsidRDefault="00781036" w:rsidP="00796931">
      <w:pPr>
        <w:jc w:val="lowKashida"/>
        <w:rPr>
          <w:b/>
          <w:bCs/>
          <w:color w:val="000000" w:themeColor="text1"/>
        </w:rPr>
      </w:pPr>
    </w:p>
    <w:p w:rsidR="002F57CD" w:rsidRPr="00236338" w:rsidRDefault="002F57CD" w:rsidP="00796931">
      <w:pPr>
        <w:jc w:val="lowKashida"/>
        <w:rPr>
          <w:b/>
          <w:bCs/>
          <w:color w:val="000000" w:themeColor="text1"/>
        </w:rPr>
      </w:pPr>
      <w:r w:rsidRPr="00236338">
        <w:rPr>
          <w:b/>
          <w:bCs/>
          <w:color w:val="000000" w:themeColor="text1"/>
        </w:rPr>
        <w:t xml:space="preserve">Housing and Housing Conditions </w:t>
      </w:r>
    </w:p>
    <w:p w:rsidR="00C11B90" w:rsidRPr="00236338" w:rsidRDefault="0051165A" w:rsidP="00A52BFB">
      <w:pPr>
        <w:pStyle w:val="BodyText2"/>
        <w:numPr>
          <w:ilvl w:val="0"/>
          <w:numId w:val="15"/>
        </w:numPr>
        <w:tabs>
          <w:tab w:val="left" w:pos="284"/>
        </w:tabs>
        <w:bidi w:val="0"/>
        <w:spacing w:before="80"/>
        <w:ind w:left="284" w:hanging="284"/>
        <w:rPr>
          <w:rFonts w:asciiTheme="majorBidi" w:hAnsiTheme="majorBidi" w:cstheme="majorBidi"/>
          <w:color w:val="000000" w:themeColor="text1"/>
        </w:rPr>
      </w:pPr>
      <w:r>
        <w:rPr>
          <w:rFonts w:asciiTheme="majorBidi" w:hAnsiTheme="majorBidi" w:cstheme="majorBidi"/>
          <w:color w:val="000000" w:themeColor="text1"/>
        </w:rPr>
        <w:t>In 2015, t</w:t>
      </w:r>
      <w:r w:rsidR="00C11B90" w:rsidRPr="00236338">
        <w:rPr>
          <w:rFonts w:asciiTheme="majorBidi" w:hAnsiTheme="majorBidi" w:cstheme="majorBidi"/>
          <w:color w:val="000000" w:themeColor="text1"/>
        </w:rPr>
        <w:t xml:space="preserve">he average number of rooms per housing unit in </w:t>
      </w:r>
      <w:r w:rsidR="009D489E" w:rsidRPr="00236338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="00C11B90" w:rsidRPr="00236338">
        <w:rPr>
          <w:rFonts w:asciiTheme="majorBidi" w:hAnsiTheme="majorBidi" w:cstheme="majorBidi"/>
          <w:color w:val="000000" w:themeColor="text1"/>
        </w:rPr>
        <w:t xml:space="preserve">was </w:t>
      </w:r>
      <w:r w:rsidR="00C11B90" w:rsidRPr="00236338">
        <w:rPr>
          <w:rFonts w:asciiTheme="majorBidi" w:hAnsiTheme="majorBidi" w:cstheme="majorBidi"/>
          <w:color w:val="000000" w:themeColor="text1"/>
          <w:rtl/>
        </w:rPr>
        <w:t>3.5</w:t>
      </w:r>
      <w:r w:rsidR="00C11B90" w:rsidRPr="00236338">
        <w:rPr>
          <w:rFonts w:asciiTheme="majorBidi" w:hAnsiTheme="majorBidi" w:cstheme="majorBidi"/>
          <w:color w:val="000000" w:themeColor="text1"/>
        </w:rPr>
        <w:t xml:space="preserve"> rooms.  </w:t>
      </w:r>
    </w:p>
    <w:p w:rsidR="00C11B90" w:rsidRPr="00236338" w:rsidRDefault="0051165A" w:rsidP="00A52BFB">
      <w:pPr>
        <w:pStyle w:val="BodyText2"/>
        <w:numPr>
          <w:ilvl w:val="0"/>
          <w:numId w:val="15"/>
        </w:numPr>
        <w:tabs>
          <w:tab w:val="left" w:pos="284"/>
        </w:tabs>
        <w:bidi w:val="0"/>
        <w:spacing w:before="80"/>
        <w:ind w:left="284" w:hanging="284"/>
        <w:jc w:val="both"/>
        <w:rPr>
          <w:rFonts w:asciiTheme="majorBidi" w:hAnsiTheme="majorBidi" w:cstheme="majorBidi"/>
          <w:color w:val="000000" w:themeColor="text1"/>
        </w:rPr>
      </w:pPr>
      <w:r>
        <w:rPr>
          <w:rFonts w:asciiTheme="majorBidi" w:hAnsiTheme="majorBidi" w:cstheme="majorBidi"/>
          <w:color w:val="000000" w:themeColor="text1"/>
        </w:rPr>
        <w:t>In 2015, t</w:t>
      </w:r>
      <w:r w:rsidR="00C11B90" w:rsidRPr="00236338">
        <w:rPr>
          <w:rFonts w:asciiTheme="majorBidi" w:hAnsiTheme="majorBidi" w:cstheme="majorBidi"/>
          <w:color w:val="000000" w:themeColor="text1"/>
        </w:rPr>
        <w:t xml:space="preserve">he average housing density in </w:t>
      </w:r>
      <w:r w:rsidR="009D489E" w:rsidRPr="00236338">
        <w:rPr>
          <w:rFonts w:asciiTheme="majorBidi" w:hAnsiTheme="majorBidi" w:cstheme="majorBidi"/>
          <w:color w:val="000000" w:themeColor="text1"/>
        </w:rPr>
        <w:t xml:space="preserve">Jerusalem Governorate </w:t>
      </w:r>
      <w:r w:rsidR="00C11B90" w:rsidRPr="00236338">
        <w:rPr>
          <w:rFonts w:asciiTheme="majorBidi" w:hAnsiTheme="majorBidi" w:cstheme="majorBidi"/>
          <w:color w:val="000000" w:themeColor="text1"/>
        </w:rPr>
        <w:t xml:space="preserve">was 1.5 person per room. </w:t>
      </w:r>
    </w:p>
    <w:p w:rsidR="00D929C1" w:rsidRPr="0051165A" w:rsidRDefault="00D929C1" w:rsidP="00796931">
      <w:pPr>
        <w:pStyle w:val="xl42"/>
        <w:pBdr>
          <w:bottom w:val="none" w:sz="0" w:space="0" w:color="auto"/>
          <w:right w:val="none" w:sz="0" w:space="0" w:color="auto"/>
        </w:pBdr>
        <w:spacing w:before="0" w:beforeAutospacing="0" w:after="0" w:afterAutospacing="0"/>
        <w:ind w:left="-1"/>
        <w:textAlignment w:val="auto"/>
        <w:rPr>
          <w:rFonts w:ascii="Arial" w:hAnsi="Arial" w:cs="Arial"/>
          <w:color w:val="000000" w:themeColor="text1"/>
          <w:sz w:val="16"/>
          <w:szCs w:val="16"/>
          <w:lang w:eastAsia="en-US"/>
        </w:rPr>
      </w:pPr>
    </w:p>
    <w:p w:rsidR="00A52BFB" w:rsidRDefault="00A52BFB">
      <w:pPr>
        <w:overflowPunct/>
        <w:autoSpaceDE/>
        <w:autoSpaceDN/>
        <w:adjustRightInd/>
        <w:textAlignment w:val="auto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>
        <w:rPr>
          <w:rFonts w:ascii="Arial" w:hAnsi="Arial" w:cs="Arial"/>
          <w:color w:val="000000" w:themeColor="text1"/>
        </w:rPr>
        <w:br w:type="page"/>
      </w:r>
    </w:p>
    <w:p w:rsidR="00A52BFB" w:rsidRDefault="00C11B90" w:rsidP="00796931">
      <w:pPr>
        <w:pStyle w:val="xl42"/>
        <w:pBdr>
          <w:bottom w:val="none" w:sz="0" w:space="0" w:color="auto"/>
          <w:right w:val="none" w:sz="0" w:space="0" w:color="auto"/>
        </w:pBdr>
        <w:spacing w:before="0" w:beforeAutospacing="0" w:after="0" w:afterAutospacing="0"/>
        <w:ind w:left="-1"/>
        <w:textAlignment w:val="auto"/>
        <w:rPr>
          <w:rFonts w:ascii="Arial" w:hAnsi="Arial" w:cs="Arial"/>
          <w:color w:val="000000" w:themeColor="text1"/>
          <w:lang w:eastAsia="en-US"/>
        </w:rPr>
      </w:pPr>
      <w:r w:rsidRPr="00236338">
        <w:rPr>
          <w:rFonts w:ascii="Arial" w:hAnsi="Arial" w:cs="Arial"/>
          <w:color w:val="000000" w:themeColor="text1"/>
          <w:lang w:eastAsia="en-US"/>
        </w:rPr>
        <w:lastRenderedPageBreak/>
        <w:t xml:space="preserve">Percentage Distribution of Palestinian Households in </w:t>
      </w:r>
      <w:r w:rsidR="009D489E" w:rsidRPr="00236338">
        <w:rPr>
          <w:rFonts w:ascii="Arial" w:hAnsi="Arial" w:cs="Arial"/>
          <w:color w:val="000000" w:themeColor="text1"/>
          <w:lang w:eastAsia="en-US"/>
        </w:rPr>
        <w:t>Jerusalem Governorate</w:t>
      </w:r>
    </w:p>
    <w:p w:rsidR="00C11B90" w:rsidRPr="00236338" w:rsidRDefault="009D489E" w:rsidP="00796931">
      <w:pPr>
        <w:pStyle w:val="xl42"/>
        <w:pBdr>
          <w:bottom w:val="none" w:sz="0" w:space="0" w:color="auto"/>
          <w:right w:val="none" w:sz="0" w:space="0" w:color="auto"/>
        </w:pBdr>
        <w:spacing w:before="0" w:beforeAutospacing="0" w:after="0" w:afterAutospacing="0"/>
        <w:ind w:left="-1"/>
        <w:textAlignment w:val="auto"/>
        <w:rPr>
          <w:rFonts w:ascii="Arial" w:hAnsi="Arial" w:cs="Arial"/>
          <w:color w:val="000000" w:themeColor="text1"/>
          <w:rtl/>
          <w:lang w:eastAsia="en-US"/>
        </w:rPr>
      </w:pPr>
      <w:r w:rsidRPr="00236338">
        <w:rPr>
          <w:rFonts w:ascii="Arial" w:hAnsi="Arial" w:cs="Arial"/>
          <w:color w:val="000000" w:themeColor="text1"/>
          <w:lang w:eastAsia="en-US"/>
        </w:rPr>
        <w:t xml:space="preserve"> </w:t>
      </w:r>
      <w:r w:rsidR="00C11B90" w:rsidRPr="00236338">
        <w:rPr>
          <w:rFonts w:ascii="Arial" w:hAnsi="Arial" w:cs="Arial"/>
          <w:color w:val="000000" w:themeColor="text1"/>
          <w:lang w:eastAsia="en-US"/>
        </w:rPr>
        <w:t>by Type of Housing Unit, 2015</w:t>
      </w:r>
    </w:p>
    <w:p w:rsidR="00C11B90" w:rsidRPr="00236338" w:rsidRDefault="00C11B90" w:rsidP="00796931">
      <w:pPr>
        <w:rPr>
          <w:color w:val="000000" w:themeColor="text1"/>
          <w:sz w:val="12"/>
          <w:szCs w:val="12"/>
          <w:rtl/>
        </w:rPr>
      </w:pPr>
    </w:p>
    <w:p w:rsidR="00C11B90" w:rsidRPr="00236338" w:rsidRDefault="00C11B90" w:rsidP="00796931">
      <w:pPr>
        <w:jc w:val="center"/>
        <w:rPr>
          <w:b/>
          <w:bCs/>
          <w:color w:val="000000" w:themeColor="text1"/>
        </w:rPr>
      </w:pPr>
      <w:r w:rsidRPr="00236338">
        <w:rPr>
          <w:noProof/>
          <w:color w:val="000000" w:themeColor="text1"/>
          <w:bdr w:val="single" w:sz="4" w:space="0" w:color="auto"/>
        </w:rPr>
        <w:drawing>
          <wp:inline distT="0" distB="0" distL="0" distR="0">
            <wp:extent cx="4217831" cy="1860997"/>
            <wp:effectExtent l="0" t="0" r="0" b="0"/>
            <wp:docPr id="1" name="Object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C11B90" w:rsidRPr="000562F6" w:rsidRDefault="00C11B90" w:rsidP="00796931">
      <w:pPr>
        <w:jc w:val="both"/>
        <w:rPr>
          <w:b/>
          <w:bCs/>
          <w:color w:val="FF0000"/>
        </w:rPr>
      </w:pPr>
    </w:p>
    <w:p w:rsidR="00E4320D" w:rsidRPr="006A0980" w:rsidRDefault="00E4320D" w:rsidP="00796931">
      <w:pPr>
        <w:jc w:val="both"/>
        <w:rPr>
          <w:b/>
          <w:bCs/>
          <w:color w:val="000000" w:themeColor="text1"/>
        </w:rPr>
      </w:pPr>
      <w:r w:rsidRPr="006A0980">
        <w:rPr>
          <w:b/>
          <w:bCs/>
          <w:color w:val="000000" w:themeColor="text1"/>
        </w:rPr>
        <w:t>Agriculture and Land Use</w:t>
      </w:r>
    </w:p>
    <w:p w:rsidR="00E4320D" w:rsidRPr="006A0980" w:rsidRDefault="00E4320D" w:rsidP="00796931">
      <w:pPr>
        <w:pStyle w:val="ListParagraph"/>
        <w:jc w:val="right"/>
        <w:rPr>
          <w:color w:val="000000" w:themeColor="text1"/>
          <w:sz w:val="16"/>
          <w:szCs w:val="16"/>
        </w:rPr>
      </w:pPr>
    </w:p>
    <w:p w:rsidR="00E4320D" w:rsidRPr="006A0980" w:rsidRDefault="00E4320D" w:rsidP="00796931">
      <w:pPr>
        <w:tabs>
          <w:tab w:val="left" w:pos="284"/>
        </w:tabs>
        <w:jc w:val="both"/>
        <w:rPr>
          <w:b/>
          <w:bCs/>
          <w:i/>
          <w:iCs/>
          <w:color w:val="000000" w:themeColor="text1"/>
          <w:sz w:val="12"/>
          <w:szCs w:val="12"/>
        </w:rPr>
      </w:pPr>
      <w:r w:rsidRPr="006A0980">
        <w:rPr>
          <w:b/>
          <w:bCs/>
          <w:color w:val="000000" w:themeColor="text1"/>
        </w:rPr>
        <w:t>1.</w:t>
      </w:r>
      <w:r w:rsidRPr="006A0980">
        <w:rPr>
          <w:b/>
          <w:bCs/>
          <w:color w:val="000000" w:themeColor="text1"/>
          <w:sz w:val="24"/>
          <w:szCs w:val="22"/>
        </w:rPr>
        <w:t xml:space="preserve">  </w:t>
      </w:r>
      <w:r w:rsidRPr="006A0980">
        <w:rPr>
          <w:b/>
          <w:bCs/>
          <w:color w:val="000000" w:themeColor="text1"/>
        </w:rPr>
        <w:t xml:space="preserve">Agriculture </w:t>
      </w:r>
    </w:p>
    <w:p w:rsidR="00E4320D" w:rsidRPr="006A0980" w:rsidRDefault="00E4320D" w:rsidP="00653020">
      <w:pPr>
        <w:pStyle w:val="BodyTextIndent"/>
        <w:numPr>
          <w:ilvl w:val="0"/>
          <w:numId w:val="2"/>
        </w:numPr>
        <w:tabs>
          <w:tab w:val="left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6A0980">
        <w:rPr>
          <w:rFonts w:cs="Times New Roman"/>
          <w:color w:val="000000" w:themeColor="text1"/>
        </w:rPr>
        <w:t xml:space="preserve">8.6% of households in Jerusalem Governorate </w:t>
      </w:r>
      <w:r w:rsidR="00653020" w:rsidRPr="00E027C9">
        <w:rPr>
          <w:rFonts w:asciiTheme="majorBidi" w:hAnsiTheme="majorBidi" w:cstheme="majorBidi"/>
          <w:color w:val="000000" w:themeColor="text1"/>
        </w:rPr>
        <w:t>ha</w:t>
      </w:r>
      <w:r w:rsidR="00653020">
        <w:rPr>
          <w:rFonts w:asciiTheme="majorBidi" w:hAnsiTheme="majorBidi" w:cstheme="majorBidi"/>
          <w:color w:val="000000" w:themeColor="text1"/>
        </w:rPr>
        <w:t>d</w:t>
      </w:r>
      <w:r w:rsidRPr="006A0980">
        <w:rPr>
          <w:rFonts w:cs="Times New Roman"/>
          <w:color w:val="000000" w:themeColor="text1"/>
        </w:rPr>
        <w:t xml:space="preserve"> a garden as on 24/03/2015.</w:t>
      </w:r>
    </w:p>
    <w:p w:rsidR="00E4320D" w:rsidRPr="006A0980" w:rsidRDefault="00E4320D" w:rsidP="00653020">
      <w:pPr>
        <w:pStyle w:val="BodyTextIndent"/>
        <w:numPr>
          <w:ilvl w:val="0"/>
          <w:numId w:val="2"/>
        </w:numPr>
        <w:tabs>
          <w:tab w:val="left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6A0980">
        <w:rPr>
          <w:rFonts w:cs="Times New Roman"/>
          <w:color w:val="000000" w:themeColor="text1"/>
        </w:rPr>
        <w:t xml:space="preserve">98.2% of households with a garden in Jerusalem Governorate utilized it for agricultural </w:t>
      </w:r>
      <w:r w:rsidR="00653020" w:rsidRPr="00E027C9">
        <w:rPr>
          <w:rFonts w:asciiTheme="majorBidi" w:hAnsiTheme="majorBidi" w:cstheme="majorBidi"/>
          <w:color w:val="000000" w:themeColor="text1"/>
        </w:rPr>
        <w:t>activit</w:t>
      </w:r>
      <w:r w:rsidR="00653020">
        <w:rPr>
          <w:rFonts w:asciiTheme="majorBidi" w:hAnsiTheme="majorBidi" w:cstheme="majorBidi"/>
          <w:color w:val="000000" w:themeColor="text1"/>
        </w:rPr>
        <w:t>ies</w:t>
      </w:r>
      <w:r w:rsidRPr="006A0980">
        <w:rPr>
          <w:rFonts w:cs="Times New Roman"/>
          <w:color w:val="000000" w:themeColor="text1"/>
        </w:rPr>
        <w:t xml:space="preserve"> during agricultural year 2013/2014.</w:t>
      </w:r>
    </w:p>
    <w:p w:rsidR="00E4320D" w:rsidRPr="006A0980" w:rsidRDefault="00E4320D" w:rsidP="00A52BFB">
      <w:pPr>
        <w:pStyle w:val="BodyTextIndent"/>
        <w:numPr>
          <w:ilvl w:val="0"/>
          <w:numId w:val="2"/>
        </w:numPr>
        <w:tabs>
          <w:tab w:val="left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6A0980">
        <w:rPr>
          <w:rFonts w:cs="Times New Roman"/>
          <w:color w:val="000000" w:themeColor="text1"/>
        </w:rPr>
        <w:t>3.5% of households in Jerusalem Governorate reared livestock (domestic) as on 24/03/2015.</w:t>
      </w:r>
    </w:p>
    <w:p w:rsidR="007401AF" w:rsidRPr="006A0980" w:rsidRDefault="007401AF" w:rsidP="00796931">
      <w:pPr>
        <w:pStyle w:val="ListParagraph"/>
        <w:rPr>
          <w:color w:val="000000" w:themeColor="text1"/>
        </w:rPr>
      </w:pPr>
    </w:p>
    <w:p w:rsidR="00E4320D" w:rsidRPr="006A0980" w:rsidRDefault="00E4320D" w:rsidP="00796931">
      <w:pPr>
        <w:jc w:val="both"/>
        <w:rPr>
          <w:b/>
          <w:bCs/>
          <w:color w:val="000000" w:themeColor="text1"/>
        </w:rPr>
      </w:pPr>
      <w:r w:rsidRPr="006A0980">
        <w:rPr>
          <w:b/>
          <w:bCs/>
          <w:color w:val="000000" w:themeColor="text1"/>
        </w:rPr>
        <w:t>2. Population Density</w:t>
      </w:r>
    </w:p>
    <w:p w:rsidR="00E4320D" w:rsidRPr="006A0980" w:rsidRDefault="00E4320D" w:rsidP="00A52BFB">
      <w:pPr>
        <w:pStyle w:val="BodyTextIndent"/>
        <w:numPr>
          <w:ilvl w:val="0"/>
          <w:numId w:val="2"/>
        </w:numPr>
        <w:tabs>
          <w:tab w:val="left" w:pos="284"/>
        </w:tabs>
        <w:bidi w:val="0"/>
        <w:spacing w:before="80"/>
        <w:ind w:left="284" w:hanging="284"/>
        <w:rPr>
          <w:rFonts w:cs="Times New Roman"/>
          <w:color w:val="000000" w:themeColor="text1"/>
        </w:rPr>
      </w:pPr>
      <w:r w:rsidRPr="006A0980">
        <w:rPr>
          <w:rFonts w:cs="Times New Roman"/>
          <w:color w:val="000000" w:themeColor="text1"/>
        </w:rPr>
        <w:t>The total area of Jerusalem Governorate is 345 km</w:t>
      </w:r>
      <w:r w:rsidRPr="006A0980">
        <w:rPr>
          <w:rFonts w:cs="Times New Roman"/>
          <w:color w:val="000000" w:themeColor="text1"/>
          <w:vertAlign w:val="superscript"/>
        </w:rPr>
        <w:t>2</w:t>
      </w:r>
      <w:r w:rsidRPr="006A0980">
        <w:rPr>
          <w:rFonts w:cs="Times New Roman"/>
          <w:color w:val="000000" w:themeColor="text1"/>
        </w:rPr>
        <w:t>.</w:t>
      </w:r>
    </w:p>
    <w:p w:rsidR="00E4320D" w:rsidRPr="006A0980" w:rsidRDefault="00E4320D" w:rsidP="00A52BFB">
      <w:pPr>
        <w:pStyle w:val="BodyTextIndent"/>
        <w:numPr>
          <w:ilvl w:val="0"/>
          <w:numId w:val="2"/>
        </w:numPr>
        <w:tabs>
          <w:tab w:val="left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6A0980">
        <w:rPr>
          <w:rFonts w:cs="Times New Roman"/>
          <w:color w:val="000000" w:themeColor="text1"/>
        </w:rPr>
        <w:t>The population density in Jerusalem Governorate was 1,236 (capita/ km</w:t>
      </w:r>
      <w:r w:rsidRPr="006A0980">
        <w:rPr>
          <w:rFonts w:cs="Times New Roman"/>
          <w:color w:val="000000" w:themeColor="text1"/>
          <w:vertAlign w:val="superscript"/>
        </w:rPr>
        <w:t>2</w:t>
      </w:r>
      <w:r w:rsidRPr="006A0980">
        <w:rPr>
          <w:rFonts w:cs="Times New Roman"/>
          <w:color w:val="000000" w:themeColor="text1"/>
        </w:rPr>
        <w:t>) at               mid-year 2016.</w:t>
      </w:r>
    </w:p>
    <w:p w:rsidR="00A52BFB" w:rsidRPr="006A0980" w:rsidRDefault="00A52BFB" w:rsidP="00796931">
      <w:pPr>
        <w:pStyle w:val="Heading5"/>
        <w:spacing w:before="0"/>
        <w:jc w:val="center"/>
        <w:rPr>
          <w:rFonts w:ascii="Arial" w:hAnsi="Arial" w:cs="Arial"/>
          <w:b/>
          <w:bCs/>
          <w:color w:val="000000" w:themeColor="text1"/>
        </w:rPr>
      </w:pPr>
    </w:p>
    <w:p w:rsidR="00E4320D" w:rsidRDefault="00E4320D" w:rsidP="006A0980">
      <w:pPr>
        <w:pStyle w:val="Heading5"/>
        <w:spacing w:before="0"/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E027C9">
        <w:rPr>
          <w:rFonts w:ascii="Arial" w:hAnsi="Arial" w:cs="Arial"/>
          <w:b/>
          <w:bCs/>
          <w:color w:val="000000" w:themeColor="text1"/>
          <w:sz w:val="18"/>
          <w:szCs w:val="18"/>
        </w:rPr>
        <w:t>Population Density (Capita/km</w:t>
      </w:r>
      <w:r w:rsidRPr="00E027C9">
        <w:rPr>
          <w:rFonts w:ascii="Arial" w:hAnsi="Arial" w:cs="Arial"/>
          <w:b/>
          <w:bCs/>
          <w:color w:val="000000" w:themeColor="text1"/>
          <w:sz w:val="18"/>
          <w:szCs w:val="18"/>
          <w:vertAlign w:val="superscript"/>
        </w:rPr>
        <w:t>2</w:t>
      </w:r>
      <w:r w:rsidRPr="00E027C9">
        <w:rPr>
          <w:rFonts w:ascii="Arial" w:hAnsi="Arial" w:cs="Arial"/>
          <w:b/>
          <w:bCs/>
          <w:color w:val="000000" w:themeColor="text1"/>
          <w:sz w:val="18"/>
          <w:szCs w:val="18"/>
        </w:rPr>
        <w:t>)</w:t>
      </w:r>
      <w:r w:rsidRPr="00E027C9">
        <w:rPr>
          <w:rFonts w:ascii="Arial" w:hAnsi="Arial" w:cs="Arial" w:hint="cs"/>
          <w:b/>
          <w:bCs/>
          <w:color w:val="000000" w:themeColor="text1"/>
          <w:sz w:val="18"/>
          <w:szCs w:val="18"/>
          <w:rtl/>
        </w:rPr>
        <w:t xml:space="preserve"> </w:t>
      </w:r>
      <w:r w:rsidRPr="00E027C9">
        <w:rPr>
          <w:rFonts w:ascii="Arial" w:hAnsi="Arial" w:cs="Arial"/>
          <w:b/>
          <w:bCs/>
          <w:color w:val="000000" w:themeColor="text1"/>
          <w:sz w:val="18"/>
          <w:szCs w:val="18"/>
        </w:rPr>
        <w:t>by Region, Mid-Year 2016</w:t>
      </w:r>
    </w:p>
    <w:p w:rsidR="00E4320D" w:rsidRPr="006A0980" w:rsidRDefault="00E4320D" w:rsidP="00796931">
      <w:pPr>
        <w:rPr>
          <w:color w:val="000000" w:themeColor="text1"/>
          <w:sz w:val="6"/>
          <w:szCs w:val="6"/>
        </w:rPr>
      </w:pPr>
    </w:p>
    <w:p w:rsidR="00E4320D" w:rsidRPr="00E027C9" w:rsidRDefault="00E4320D" w:rsidP="00796931">
      <w:pPr>
        <w:pStyle w:val="BodyText"/>
        <w:jc w:val="center"/>
        <w:rPr>
          <w:b/>
          <w:bCs/>
          <w:color w:val="000000" w:themeColor="text1"/>
          <w:rtl/>
        </w:rPr>
      </w:pPr>
      <w:r w:rsidRPr="00E027C9">
        <w:rPr>
          <w:b/>
          <w:bCs/>
          <w:noProof/>
          <w:color w:val="000000" w:themeColor="text1"/>
          <w:rtl/>
        </w:rPr>
        <w:drawing>
          <wp:inline distT="0" distB="0" distL="0" distR="0">
            <wp:extent cx="4318045" cy="1745088"/>
            <wp:effectExtent l="19050" t="0" r="25355" b="7512"/>
            <wp:docPr id="8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E4320D" w:rsidRDefault="006A0980" w:rsidP="006A0980">
      <w:pPr>
        <w:rPr>
          <w:rFonts w:ascii="Arial" w:hAnsi="Arial" w:cs="Arial"/>
          <w:color w:val="FF0000"/>
          <w:sz w:val="10"/>
          <w:szCs w:val="10"/>
        </w:rPr>
      </w:pPr>
      <w:r w:rsidRPr="006A0980">
        <w:rPr>
          <w:rFonts w:ascii="Arial" w:hAnsi="Arial" w:cs="Arial"/>
          <w:color w:val="000000" w:themeColor="text1"/>
          <w:sz w:val="16"/>
          <w:szCs w:val="16"/>
          <w:rtl/>
        </w:rPr>
        <w:t>:*</w:t>
      </w:r>
      <w:r>
        <w:rPr>
          <w:rFonts w:ascii="Arial" w:hAnsi="Arial" w:cs="Arial" w:hint="cs"/>
          <w:color w:val="000000" w:themeColor="text1"/>
          <w:sz w:val="16"/>
          <w:szCs w:val="16"/>
          <w:rtl/>
        </w:rPr>
        <w:t xml:space="preserve">       </w:t>
      </w:r>
      <w:r w:rsidRPr="006A0980">
        <w:rPr>
          <w:rFonts w:ascii="Arial" w:hAnsi="Arial" w:cs="Arial"/>
          <w:color w:val="000000" w:themeColor="text1"/>
          <w:sz w:val="16"/>
          <w:szCs w:val="16"/>
        </w:rPr>
        <w:t>Data includes Jerusalem.</w:t>
      </w:r>
    </w:p>
    <w:p w:rsidR="006A0980" w:rsidRDefault="006A0980" w:rsidP="006A0980">
      <w:pPr>
        <w:rPr>
          <w:rFonts w:ascii="Arial" w:hAnsi="Arial" w:cs="Arial"/>
          <w:color w:val="FF0000"/>
          <w:sz w:val="10"/>
          <w:szCs w:val="10"/>
        </w:rPr>
      </w:pPr>
    </w:p>
    <w:p w:rsidR="006A0980" w:rsidRDefault="006A0980" w:rsidP="00796931">
      <w:pPr>
        <w:tabs>
          <w:tab w:val="left" w:pos="284"/>
        </w:tabs>
        <w:jc w:val="both"/>
        <w:rPr>
          <w:rFonts w:ascii="Arial" w:hAnsi="Arial" w:cs="Arial"/>
          <w:color w:val="FF0000"/>
          <w:sz w:val="10"/>
          <w:szCs w:val="10"/>
        </w:rPr>
      </w:pPr>
    </w:p>
    <w:p w:rsidR="006A0980" w:rsidRDefault="006A0980" w:rsidP="00796931">
      <w:pPr>
        <w:tabs>
          <w:tab w:val="left" w:pos="284"/>
        </w:tabs>
        <w:jc w:val="both"/>
        <w:rPr>
          <w:rFonts w:ascii="Arial" w:hAnsi="Arial" w:cs="Arial"/>
          <w:color w:val="FF0000"/>
          <w:sz w:val="10"/>
          <w:szCs w:val="10"/>
        </w:rPr>
      </w:pPr>
    </w:p>
    <w:p w:rsidR="006A0980" w:rsidRDefault="006A0980" w:rsidP="00796931">
      <w:pPr>
        <w:tabs>
          <w:tab w:val="left" w:pos="284"/>
        </w:tabs>
        <w:jc w:val="both"/>
        <w:rPr>
          <w:rFonts w:ascii="Arial" w:hAnsi="Arial" w:cs="Arial"/>
          <w:color w:val="FF0000"/>
          <w:sz w:val="10"/>
          <w:szCs w:val="10"/>
        </w:rPr>
      </w:pPr>
    </w:p>
    <w:p w:rsidR="006A0980" w:rsidRDefault="006A0980" w:rsidP="00796931">
      <w:pPr>
        <w:tabs>
          <w:tab w:val="left" w:pos="284"/>
        </w:tabs>
        <w:jc w:val="both"/>
        <w:rPr>
          <w:rFonts w:ascii="Arial" w:hAnsi="Arial" w:cs="Arial"/>
          <w:color w:val="FF0000"/>
          <w:sz w:val="10"/>
          <w:szCs w:val="10"/>
        </w:rPr>
      </w:pPr>
    </w:p>
    <w:p w:rsidR="00E4320D" w:rsidRPr="006A0980" w:rsidRDefault="00E4320D" w:rsidP="00796931">
      <w:pPr>
        <w:tabs>
          <w:tab w:val="left" w:pos="284"/>
        </w:tabs>
        <w:jc w:val="both"/>
        <w:rPr>
          <w:b/>
          <w:bCs/>
          <w:color w:val="000000" w:themeColor="text1"/>
        </w:rPr>
      </w:pPr>
      <w:r w:rsidRPr="006A0980">
        <w:rPr>
          <w:b/>
          <w:bCs/>
          <w:color w:val="000000" w:themeColor="text1"/>
        </w:rPr>
        <w:lastRenderedPageBreak/>
        <w:t>3. Olive Presses</w:t>
      </w:r>
    </w:p>
    <w:p w:rsidR="00E4320D" w:rsidRPr="006A0980" w:rsidRDefault="00E4320D" w:rsidP="006A0980">
      <w:pPr>
        <w:pStyle w:val="BodyTextIndent"/>
        <w:numPr>
          <w:ilvl w:val="0"/>
          <w:numId w:val="46"/>
        </w:numPr>
        <w:tabs>
          <w:tab w:val="left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6A0980">
        <w:rPr>
          <w:rFonts w:cs="Times New Roman"/>
          <w:color w:val="000000" w:themeColor="text1"/>
        </w:rPr>
        <w:t>There were 4 operating olive presses in Jerusalem Governorate with 29</w:t>
      </w:r>
      <w:r w:rsidRPr="006A0980">
        <w:rPr>
          <w:rFonts w:cs="Times New Roman"/>
          <w:color w:val="000000" w:themeColor="text1"/>
          <w:rtl/>
        </w:rPr>
        <w:t xml:space="preserve"> </w:t>
      </w:r>
      <w:r w:rsidRPr="006A0980">
        <w:rPr>
          <w:rFonts w:cs="Times New Roman"/>
          <w:color w:val="000000" w:themeColor="text1"/>
        </w:rPr>
        <w:t xml:space="preserve">employees  </w:t>
      </w:r>
      <w:r w:rsidR="008C2C89" w:rsidRPr="006A0980">
        <w:rPr>
          <w:rFonts w:cs="Times New Roman"/>
          <w:color w:val="000000" w:themeColor="text1"/>
        </w:rPr>
        <w:t xml:space="preserve">      </w:t>
      </w:r>
      <w:r w:rsidRPr="006A0980">
        <w:rPr>
          <w:rFonts w:cs="Times New Roman"/>
          <w:color w:val="000000" w:themeColor="text1"/>
        </w:rPr>
        <w:t>in 2016.</w:t>
      </w:r>
    </w:p>
    <w:p w:rsidR="00E4320D" w:rsidRPr="006A0980" w:rsidRDefault="00E4320D" w:rsidP="00653020">
      <w:pPr>
        <w:pStyle w:val="BodyTextIndent"/>
        <w:numPr>
          <w:ilvl w:val="0"/>
          <w:numId w:val="46"/>
        </w:numPr>
        <w:tabs>
          <w:tab w:val="left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6A0980">
        <w:rPr>
          <w:rFonts w:cs="Times New Roman"/>
          <w:color w:val="000000" w:themeColor="text1"/>
        </w:rPr>
        <w:t xml:space="preserve">The output value of </w:t>
      </w:r>
      <w:r w:rsidR="00653020" w:rsidRPr="001F7902">
        <w:rPr>
          <w:rFonts w:asciiTheme="majorBidi" w:hAnsiTheme="majorBidi" w:cstheme="majorBidi"/>
          <w:color w:val="000000" w:themeColor="text1"/>
        </w:rPr>
        <w:t>th</w:t>
      </w:r>
      <w:r w:rsidR="00653020">
        <w:rPr>
          <w:rFonts w:asciiTheme="majorBidi" w:hAnsiTheme="majorBidi" w:cstheme="majorBidi"/>
          <w:color w:val="000000" w:themeColor="text1"/>
        </w:rPr>
        <w:t>o</w:t>
      </w:r>
      <w:r w:rsidR="00653020" w:rsidRPr="001F7902">
        <w:rPr>
          <w:rFonts w:asciiTheme="majorBidi" w:hAnsiTheme="majorBidi" w:cstheme="majorBidi"/>
          <w:color w:val="000000" w:themeColor="text1"/>
        </w:rPr>
        <w:t>se</w:t>
      </w:r>
      <w:r w:rsidRPr="006A0980">
        <w:rPr>
          <w:rFonts w:cs="Times New Roman"/>
          <w:color w:val="000000" w:themeColor="text1"/>
        </w:rPr>
        <w:t xml:space="preserve"> presses was USD 350.0 thousand.</w:t>
      </w:r>
    </w:p>
    <w:p w:rsidR="00E4320D" w:rsidRPr="006A0980" w:rsidRDefault="00E4320D" w:rsidP="00653020">
      <w:pPr>
        <w:pStyle w:val="BodyTextIndent"/>
        <w:numPr>
          <w:ilvl w:val="0"/>
          <w:numId w:val="46"/>
        </w:numPr>
        <w:tabs>
          <w:tab w:val="left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6A0980">
        <w:rPr>
          <w:rFonts w:cs="Times New Roman"/>
          <w:color w:val="000000" w:themeColor="text1"/>
        </w:rPr>
        <w:t xml:space="preserve">The value added realized by the olive </w:t>
      </w:r>
      <w:r w:rsidR="00653020" w:rsidRPr="001F7902">
        <w:rPr>
          <w:rFonts w:asciiTheme="majorBidi" w:hAnsiTheme="majorBidi" w:cstheme="majorBidi"/>
          <w:color w:val="000000" w:themeColor="text1"/>
        </w:rPr>
        <w:t>press</w:t>
      </w:r>
      <w:r w:rsidR="00653020">
        <w:rPr>
          <w:rFonts w:asciiTheme="majorBidi" w:hAnsiTheme="majorBidi" w:cstheme="majorBidi"/>
          <w:color w:val="000000" w:themeColor="text1"/>
        </w:rPr>
        <w:t>es</w:t>
      </w:r>
      <w:r w:rsidRPr="006A0980">
        <w:rPr>
          <w:rFonts w:cs="Times New Roman"/>
          <w:color w:val="000000" w:themeColor="text1"/>
        </w:rPr>
        <w:t xml:space="preserve"> sector was USD</w:t>
      </w:r>
      <w:r w:rsidRPr="006A0980">
        <w:rPr>
          <w:rFonts w:cs="Times New Roman"/>
          <w:color w:val="000000" w:themeColor="text1"/>
          <w:rtl/>
        </w:rPr>
        <w:t xml:space="preserve"> </w:t>
      </w:r>
      <w:r w:rsidRPr="006A0980">
        <w:rPr>
          <w:rFonts w:cs="Times New Roman"/>
          <w:color w:val="000000" w:themeColor="text1"/>
        </w:rPr>
        <w:t>308.9</w:t>
      </w:r>
      <w:r w:rsidRPr="006A0980">
        <w:rPr>
          <w:rFonts w:cs="Times New Roman"/>
          <w:color w:val="000000" w:themeColor="text1"/>
          <w:rtl/>
        </w:rPr>
        <w:t xml:space="preserve"> </w:t>
      </w:r>
      <w:r w:rsidRPr="006A0980">
        <w:rPr>
          <w:rFonts w:cs="Times New Roman"/>
          <w:color w:val="000000" w:themeColor="text1"/>
        </w:rPr>
        <w:t>thousand.</w:t>
      </w:r>
    </w:p>
    <w:p w:rsidR="00E4320D" w:rsidRPr="006A0980" w:rsidRDefault="00E4320D" w:rsidP="00796931">
      <w:pPr>
        <w:jc w:val="lowKashida"/>
        <w:rPr>
          <w:b/>
          <w:bCs/>
          <w:color w:val="FF0000"/>
        </w:rPr>
      </w:pPr>
    </w:p>
    <w:p w:rsidR="00E4320D" w:rsidRPr="006A0980" w:rsidRDefault="00E4320D" w:rsidP="00796931">
      <w:pPr>
        <w:jc w:val="lowKashida"/>
        <w:rPr>
          <w:b/>
          <w:bCs/>
          <w:color w:val="000000" w:themeColor="text1"/>
        </w:rPr>
      </w:pPr>
      <w:r w:rsidRPr="006A0980">
        <w:rPr>
          <w:b/>
          <w:bCs/>
          <w:color w:val="000000" w:themeColor="text1"/>
        </w:rPr>
        <w:t>Environment and Natural Resources</w:t>
      </w:r>
    </w:p>
    <w:p w:rsidR="00E4320D" w:rsidRPr="006A0980" w:rsidRDefault="00E4320D" w:rsidP="00796931">
      <w:pPr>
        <w:jc w:val="lowKashida"/>
        <w:rPr>
          <w:b/>
          <w:bCs/>
          <w:color w:val="000000" w:themeColor="text1"/>
        </w:rPr>
      </w:pPr>
    </w:p>
    <w:p w:rsidR="00E4320D" w:rsidRPr="006A0980" w:rsidRDefault="00E4320D" w:rsidP="00796931">
      <w:pPr>
        <w:ind w:right="720"/>
        <w:jc w:val="lowKashida"/>
        <w:rPr>
          <w:b/>
          <w:bCs/>
          <w:color w:val="000000" w:themeColor="text1"/>
        </w:rPr>
      </w:pPr>
      <w:r w:rsidRPr="006A0980">
        <w:rPr>
          <w:b/>
          <w:bCs/>
          <w:color w:val="000000" w:themeColor="text1"/>
        </w:rPr>
        <w:t xml:space="preserve">1. Water </w:t>
      </w:r>
    </w:p>
    <w:p w:rsidR="00DF37A9" w:rsidRPr="006A0980" w:rsidRDefault="00DF37A9" w:rsidP="006A0980">
      <w:pPr>
        <w:pStyle w:val="BodyTextIndent"/>
        <w:numPr>
          <w:ilvl w:val="0"/>
          <w:numId w:val="2"/>
        </w:numPr>
        <w:tabs>
          <w:tab w:val="left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6A0980">
        <w:rPr>
          <w:rFonts w:cs="Times New Roman"/>
          <w:color w:val="000000" w:themeColor="text1"/>
        </w:rPr>
        <w:t xml:space="preserve">In </w:t>
      </w:r>
      <w:r w:rsidRPr="006A0980">
        <w:rPr>
          <w:rFonts w:cs="Times New Roman"/>
          <w:color w:val="000000" w:themeColor="text1"/>
          <w:rtl/>
        </w:rPr>
        <w:t>2016</w:t>
      </w:r>
      <w:r w:rsidRPr="006A0980">
        <w:rPr>
          <w:rFonts w:cs="Times New Roman"/>
          <w:color w:val="000000" w:themeColor="text1"/>
        </w:rPr>
        <w:t>, 99.6% of schools in Jerusalem Governorate were connected to a water network.</w:t>
      </w:r>
    </w:p>
    <w:p w:rsidR="00E4320D" w:rsidRPr="006A0980" w:rsidRDefault="00E4320D" w:rsidP="00653020">
      <w:pPr>
        <w:pStyle w:val="BodyTextIndent"/>
        <w:numPr>
          <w:ilvl w:val="0"/>
          <w:numId w:val="2"/>
        </w:numPr>
        <w:tabs>
          <w:tab w:val="left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6A0980">
        <w:rPr>
          <w:rFonts w:cs="Times New Roman"/>
          <w:color w:val="000000" w:themeColor="text1"/>
        </w:rPr>
        <w:t>In Ramallah &amp; Al-</w:t>
      </w:r>
      <w:proofErr w:type="spellStart"/>
      <w:r w:rsidRPr="006A0980">
        <w:rPr>
          <w:rFonts w:cs="Times New Roman"/>
          <w:color w:val="000000" w:themeColor="text1"/>
        </w:rPr>
        <w:t>Bireh</w:t>
      </w:r>
      <w:proofErr w:type="spellEnd"/>
      <w:r w:rsidRPr="006A0980">
        <w:rPr>
          <w:rFonts w:cs="Times New Roman"/>
          <w:color w:val="000000" w:themeColor="text1"/>
        </w:rPr>
        <w:t xml:space="preserve"> </w:t>
      </w:r>
      <w:r w:rsidR="00653020">
        <w:rPr>
          <w:rFonts w:asciiTheme="majorBidi" w:hAnsiTheme="majorBidi" w:cstheme="majorBidi"/>
          <w:color w:val="000000" w:themeColor="text1"/>
        </w:rPr>
        <w:t>a</w:t>
      </w:r>
      <w:r w:rsidR="00653020" w:rsidRPr="00E027C9">
        <w:rPr>
          <w:rFonts w:asciiTheme="majorBidi" w:hAnsiTheme="majorBidi" w:cstheme="majorBidi"/>
          <w:color w:val="000000" w:themeColor="text1"/>
        </w:rPr>
        <w:t>nd</w:t>
      </w:r>
      <w:r w:rsidRPr="006A0980">
        <w:rPr>
          <w:rFonts w:cs="Times New Roman"/>
          <w:color w:val="000000" w:themeColor="text1"/>
        </w:rPr>
        <w:t xml:space="preserve"> Jerusalem J2 the water situation is very complex. In 2015, 23.8 MCM of water were supplied to the domestic sector. </w:t>
      </w:r>
    </w:p>
    <w:p w:rsidR="00E4320D" w:rsidRPr="006A0980" w:rsidRDefault="00E4320D" w:rsidP="00653020">
      <w:pPr>
        <w:pStyle w:val="BodyTextIndent"/>
        <w:numPr>
          <w:ilvl w:val="0"/>
          <w:numId w:val="2"/>
        </w:numPr>
        <w:tabs>
          <w:tab w:val="left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6A0980">
        <w:rPr>
          <w:rFonts w:cs="Times New Roman"/>
          <w:color w:val="000000" w:themeColor="text1"/>
        </w:rPr>
        <w:t xml:space="preserve">The daily allocation per capita from consumed water for domestic purposes </w:t>
      </w:r>
      <w:r w:rsidR="00653020">
        <w:rPr>
          <w:rFonts w:asciiTheme="majorBidi" w:hAnsiTheme="majorBidi" w:cstheme="majorBidi"/>
          <w:color w:val="000000" w:themeColor="text1"/>
        </w:rPr>
        <w:t>was</w:t>
      </w:r>
      <w:r w:rsidRPr="006A0980">
        <w:rPr>
          <w:rFonts w:cs="Times New Roman"/>
          <w:color w:val="000000" w:themeColor="text1"/>
        </w:rPr>
        <w:t xml:space="preserve"> 82.2 liter/capita/day in Palestine. 84.3 (</w:t>
      </w:r>
      <w:proofErr w:type="spellStart"/>
      <w:r w:rsidRPr="006A0980">
        <w:rPr>
          <w:rFonts w:cs="Times New Roman"/>
          <w:color w:val="000000" w:themeColor="text1"/>
        </w:rPr>
        <w:t>l/c</w:t>
      </w:r>
      <w:proofErr w:type="spellEnd"/>
      <w:r w:rsidRPr="006A0980">
        <w:rPr>
          <w:rFonts w:cs="Times New Roman"/>
          <w:color w:val="000000" w:themeColor="text1"/>
        </w:rPr>
        <w:t xml:space="preserve">/d) in the West Bank,  where it </w:t>
      </w:r>
      <w:r w:rsidR="00653020">
        <w:rPr>
          <w:rFonts w:asciiTheme="majorBidi" w:hAnsiTheme="majorBidi" w:cstheme="majorBidi"/>
          <w:color w:val="000000" w:themeColor="text1"/>
        </w:rPr>
        <w:t>was</w:t>
      </w:r>
      <w:r w:rsidRPr="006A0980">
        <w:rPr>
          <w:rFonts w:cs="Times New Roman"/>
          <w:color w:val="000000" w:themeColor="text1"/>
        </w:rPr>
        <w:t xml:space="preserve"> 95.5 (</w:t>
      </w:r>
      <w:proofErr w:type="spellStart"/>
      <w:r w:rsidRPr="006A0980">
        <w:rPr>
          <w:rFonts w:cs="Times New Roman"/>
          <w:color w:val="000000" w:themeColor="text1"/>
        </w:rPr>
        <w:t>l/c</w:t>
      </w:r>
      <w:proofErr w:type="spellEnd"/>
      <w:r w:rsidRPr="006A0980">
        <w:rPr>
          <w:rFonts w:cs="Times New Roman"/>
          <w:color w:val="000000" w:themeColor="text1"/>
        </w:rPr>
        <w:t>/d) in Ramallah &amp; Al-</w:t>
      </w:r>
      <w:proofErr w:type="spellStart"/>
      <w:r w:rsidRPr="006A0980">
        <w:rPr>
          <w:rFonts w:cs="Times New Roman"/>
          <w:color w:val="000000" w:themeColor="text1"/>
        </w:rPr>
        <w:t>Bireh</w:t>
      </w:r>
      <w:proofErr w:type="spellEnd"/>
      <w:r w:rsidRPr="006A0980">
        <w:rPr>
          <w:rFonts w:cs="Times New Roman"/>
          <w:color w:val="000000" w:themeColor="text1"/>
        </w:rPr>
        <w:t xml:space="preserve"> </w:t>
      </w:r>
      <w:r w:rsidR="00653020">
        <w:rPr>
          <w:rFonts w:asciiTheme="majorBidi" w:hAnsiTheme="majorBidi" w:cstheme="majorBidi"/>
          <w:color w:val="000000" w:themeColor="text1"/>
        </w:rPr>
        <w:t>a</w:t>
      </w:r>
      <w:r w:rsidR="00653020" w:rsidRPr="00E027C9">
        <w:rPr>
          <w:rFonts w:asciiTheme="majorBidi" w:hAnsiTheme="majorBidi" w:cstheme="majorBidi"/>
          <w:color w:val="000000" w:themeColor="text1"/>
        </w:rPr>
        <w:t>nd</w:t>
      </w:r>
      <w:r w:rsidRPr="006A0980">
        <w:rPr>
          <w:rFonts w:cs="Times New Roman"/>
          <w:color w:val="000000" w:themeColor="text1"/>
        </w:rPr>
        <w:t xml:space="preserve"> Jerusalem J2 in 2015.</w:t>
      </w:r>
    </w:p>
    <w:p w:rsidR="00B35A1A" w:rsidRPr="006A0980" w:rsidRDefault="00E4320D" w:rsidP="00000F4F">
      <w:pPr>
        <w:pStyle w:val="BodyTextIndent"/>
        <w:numPr>
          <w:ilvl w:val="0"/>
          <w:numId w:val="2"/>
        </w:numPr>
        <w:tabs>
          <w:tab w:val="left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6A0980">
        <w:rPr>
          <w:rFonts w:cs="Times New Roman"/>
          <w:color w:val="000000" w:themeColor="text1"/>
        </w:rPr>
        <w:t xml:space="preserve">In 2015, </w:t>
      </w:r>
      <w:r w:rsidRPr="006A0980">
        <w:rPr>
          <w:rFonts w:cs="Times New Roman"/>
          <w:color w:val="000000" w:themeColor="text1"/>
          <w:rtl/>
        </w:rPr>
        <w:t>79.0</w:t>
      </w:r>
      <w:r w:rsidRPr="006A0980">
        <w:rPr>
          <w:rFonts w:cs="Times New Roman"/>
          <w:color w:val="000000" w:themeColor="text1"/>
        </w:rPr>
        <w:t>% of households in Jerusalem Governorate evaluated water quality as good.</w:t>
      </w:r>
    </w:p>
    <w:p w:rsidR="00B35A1A" w:rsidRDefault="00B35A1A" w:rsidP="00796931">
      <w:pPr>
        <w:overflowPunct/>
        <w:autoSpaceDE/>
        <w:autoSpaceDN/>
        <w:adjustRightInd/>
        <w:textAlignment w:val="auto"/>
        <w:rPr>
          <w:rFonts w:asciiTheme="majorBidi" w:hAnsiTheme="majorBidi" w:cstheme="majorBidi"/>
          <w:color w:val="000000" w:themeColor="text1"/>
        </w:rPr>
      </w:pPr>
    </w:p>
    <w:p w:rsidR="006A0980" w:rsidRDefault="00B35A1A" w:rsidP="006A0980">
      <w:pPr>
        <w:pStyle w:val="BodyTextIndent"/>
        <w:bidi w:val="0"/>
        <w:ind w:firstLine="0"/>
        <w:jc w:val="center"/>
        <w:rPr>
          <w:rFonts w:ascii="Arial" w:hAnsi="Arial"/>
          <w:b/>
          <w:bCs/>
          <w:color w:val="000000" w:themeColor="text1"/>
          <w:sz w:val="18"/>
          <w:szCs w:val="18"/>
        </w:rPr>
      </w:pPr>
      <w:r w:rsidRPr="00E027C9">
        <w:rPr>
          <w:rFonts w:ascii="Arial" w:hAnsi="Arial"/>
          <w:b/>
          <w:bCs/>
          <w:color w:val="000000" w:themeColor="text1"/>
          <w:sz w:val="18"/>
          <w:szCs w:val="18"/>
        </w:rPr>
        <w:t xml:space="preserve">Percentage Distribution of Households in Jerusalem Governorate by </w:t>
      </w:r>
    </w:p>
    <w:p w:rsidR="00E4320D" w:rsidRDefault="00B35A1A" w:rsidP="006A0980">
      <w:pPr>
        <w:pStyle w:val="BodyTextIndent"/>
        <w:bidi w:val="0"/>
        <w:ind w:firstLine="0"/>
        <w:jc w:val="center"/>
        <w:rPr>
          <w:rFonts w:ascii="Arial" w:hAnsi="Arial"/>
          <w:b/>
          <w:bCs/>
          <w:color w:val="000000" w:themeColor="text1"/>
          <w:sz w:val="18"/>
          <w:szCs w:val="18"/>
        </w:rPr>
      </w:pPr>
      <w:r w:rsidRPr="00E027C9">
        <w:rPr>
          <w:rFonts w:ascii="Arial" w:hAnsi="Arial"/>
          <w:b/>
          <w:bCs/>
          <w:color w:val="000000" w:themeColor="text1"/>
          <w:sz w:val="18"/>
          <w:szCs w:val="18"/>
        </w:rPr>
        <w:t>Household</w:t>
      </w:r>
      <w:r>
        <w:rPr>
          <w:rFonts w:ascii="Arial" w:hAnsi="Arial"/>
          <w:b/>
          <w:bCs/>
          <w:color w:val="000000" w:themeColor="text1"/>
          <w:sz w:val="18"/>
          <w:szCs w:val="18"/>
        </w:rPr>
        <w:t xml:space="preserve"> </w:t>
      </w:r>
      <w:r w:rsidRPr="00E027C9">
        <w:rPr>
          <w:rFonts w:ascii="Arial" w:hAnsi="Arial"/>
          <w:b/>
          <w:bCs/>
          <w:color w:val="000000" w:themeColor="text1"/>
          <w:sz w:val="18"/>
          <w:szCs w:val="18"/>
        </w:rPr>
        <w:t xml:space="preserve">Evaluation of Water Quality, </w:t>
      </w:r>
      <w:r w:rsidRPr="00E027C9">
        <w:rPr>
          <w:rFonts w:ascii="Arial" w:hAnsi="Arial" w:hint="cs"/>
          <w:b/>
          <w:bCs/>
          <w:color w:val="000000" w:themeColor="text1"/>
          <w:sz w:val="18"/>
          <w:szCs w:val="18"/>
          <w:rtl/>
        </w:rPr>
        <w:t>2015</w:t>
      </w:r>
    </w:p>
    <w:p w:rsidR="00B35A1A" w:rsidRPr="00B35A1A" w:rsidRDefault="00B35A1A" w:rsidP="00796931">
      <w:pPr>
        <w:pStyle w:val="BodyTextIndent"/>
        <w:tabs>
          <w:tab w:val="left" w:pos="284"/>
        </w:tabs>
        <w:bidi w:val="0"/>
        <w:ind w:left="284" w:right="720" w:firstLine="0"/>
        <w:jc w:val="center"/>
        <w:rPr>
          <w:rFonts w:asciiTheme="majorBidi" w:hAnsiTheme="majorBidi" w:cstheme="majorBidi"/>
          <w:color w:val="000000" w:themeColor="text1"/>
          <w:sz w:val="10"/>
          <w:szCs w:val="10"/>
        </w:rPr>
      </w:pPr>
    </w:p>
    <w:p w:rsidR="00E4320D" w:rsidRPr="00E027C9" w:rsidRDefault="00E4320D" w:rsidP="00796931">
      <w:pPr>
        <w:jc w:val="center"/>
        <w:rPr>
          <w:rFonts w:ascii="Simplified Arabic" w:hAnsi="Simplified Arabic" w:cs="Simplified Arabic"/>
          <w:b/>
          <w:bCs/>
          <w:color w:val="000000" w:themeColor="text1"/>
          <w:sz w:val="18"/>
          <w:szCs w:val="18"/>
        </w:rPr>
      </w:pPr>
      <w:r w:rsidRPr="00E027C9">
        <w:rPr>
          <w:rFonts w:ascii="Simplified Arabic" w:hAnsi="Simplified Arabic" w:cs="Simplified Arabic" w:hint="cs"/>
          <w:b/>
          <w:bCs/>
          <w:noProof/>
          <w:color w:val="000000" w:themeColor="text1"/>
          <w:sz w:val="18"/>
          <w:szCs w:val="18"/>
          <w:bdr w:val="single" w:sz="4" w:space="0" w:color="auto"/>
        </w:rPr>
        <w:drawing>
          <wp:inline distT="0" distB="0" distL="0" distR="0">
            <wp:extent cx="4031087" cy="1712890"/>
            <wp:effectExtent l="0" t="0" r="0" b="0"/>
            <wp:docPr id="13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E4320D" w:rsidRPr="000562F6" w:rsidRDefault="00E4320D" w:rsidP="00796931">
      <w:pPr>
        <w:pStyle w:val="BodyTextIndent"/>
        <w:tabs>
          <w:tab w:val="left" w:pos="284"/>
        </w:tabs>
        <w:bidi w:val="0"/>
        <w:ind w:firstLine="0"/>
        <w:jc w:val="both"/>
        <w:rPr>
          <w:color w:val="FF0000"/>
        </w:rPr>
      </w:pPr>
    </w:p>
    <w:p w:rsidR="00E4320D" w:rsidRPr="00E027C9" w:rsidRDefault="00E4320D" w:rsidP="00796931">
      <w:pPr>
        <w:pStyle w:val="BodyTextIndent"/>
        <w:tabs>
          <w:tab w:val="num" w:pos="0"/>
        </w:tabs>
        <w:bidi w:val="0"/>
        <w:ind w:firstLine="0"/>
        <w:jc w:val="both"/>
        <w:rPr>
          <w:b/>
          <w:bCs/>
          <w:color w:val="000000" w:themeColor="text1"/>
          <w:sz w:val="16"/>
          <w:szCs w:val="16"/>
        </w:rPr>
      </w:pPr>
      <w:r w:rsidRPr="00E027C9">
        <w:rPr>
          <w:b/>
          <w:bCs/>
          <w:color w:val="000000" w:themeColor="text1"/>
        </w:rPr>
        <w:t xml:space="preserve">2.  Electricity </w:t>
      </w:r>
    </w:p>
    <w:p w:rsidR="00E4320D" w:rsidRPr="006A0980" w:rsidRDefault="00E4320D" w:rsidP="006A0980">
      <w:pPr>
        <w:pStyle w:val="BodyText2"/>
        <w:numPr>
          <w:ilvl w:val="0"/>
          <w:numId w:val="5"/>
        </w:numPr>
        <w:tabs>
          <w:tab w:val="clear" w:pos="720"/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6A0980">
        <w:rPr>
          <w:rFonts w:cs="Times New Roman"/>
          <w:color w:val="000000" w:themeColor="text1"/>
        </w:rPr>
        <w:t xml:space="preserve">There were108,265 subscribers of electricity services in Jerusalem Governorate in 2015. </w:t>
      </w:r>
    </w:p>
    <w:p w:rsidR="00E4320D" w:rsidRPr="006A0980" w:rsidRDefault="00E4320D" w:rsidP="006A0980">
      <w:pPr>
        <w:pStyle w:val="BodyText2"/>
        <w:numPr>
          <w:ilvl w:val="0"/>
          <w:numId w:val="5"/>
        </w:numPr>
        <w:tabs>
          <w:tab w:val="clear" w:pos="720"/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6A0980">
        <w:rPr>
          <w:rFonts w:cs="Times New Roman"/>
          <w:color w:val="000000" w:themeColor="text1"/>
        </w:rPr>
        <w:t xml:space="preserve">Electricity consumption in Jerusalem Governorate was </w:t>
      </w:r>
      <w:r w:rsidRPr="006A0980">
        <w:rPr>
          <w:rFonts w:cs="Times New Roman"/>
          <w:color w:val="000000" w:themeColor="text1"/>
          <w:rtl/>
        </w:rPr>
        <w:t>515.6</w:t>
      </w:r>
      <w:r w:rsidRPr="006A0980">
        <w:rPr>
          <w:rFonts w:cs="Times New Roman"/>
          <w:color w:val="000000" w:themeColor="text1"/>
        </w:rPr>
        <w:t xml:space="preserve"> </w:t>
      </w:r>
      <w:r w:rsidRPr="006A0980">
        <w:rPr>
          <w:rFonts w:cs="Times New Roman"/>
          <w:color w:val="000000" w:themeColor="text1"/>
          <w:rtl/>
        </w:rPr>
        <w:t xml:space="preserve"> </w:t>
      </w:r>
      <w:proofErr w:type="spellStart"/>
      <w:r w:rsidRPr="006A0980">
        <w:rPr>
          <w:rFonts w:cs="Times New Roman"/>
          <w:color w:val="000000" w:themeColor="text1"/>
        </w:rPr>
        <w:t>GW.h</w:t>
      </w:r>
      <w:proofErr w:type="spellEnd"/>
      <w:r w:rsidRPr="006A0980">
        <w:rPr>
          <w:rFonts w:cs="Times New Roman"/>
          <w:color w:val="000000" w:themeColor="text1"/>
        </w:rPr>
        <w:t xml:space="preserve"> compared to </w:t>
      </w:r>
      <w:r w:rsidRPr="006A0980">
        <w:rPr>
          <w:rFonts w:cs="Times New Roman"/>
          <w:color w:val="000000" w:themeColor="text1"/>
          <w:rtl/>
        </w:rPr>
        <w:t>461.8</w:t>
      </w:r>
      <w:r w:rsidRPr="006A0980">
        <w:rPr>
          <w:rFonts w:cs="Times New Roman"/>
          <w:color w:val="000000" w:themeColor="text1"/>
        </w:rPr>
        <w:t xml:space="preserve"> in 2014, 470.7 </w:t>
      </w:r>
      <w:proofErr w:type="spellStart"/>
      <w:r w:rsidRPr="006A0980">
        <w:rPr>
          <w:rFonts w:cs="Times New Roman"/>
          <w:color w:val="000000" w:themeColor="text1"/>
        </w:rPr>
        <w:t>GW.h</w:t>
      </w:r>
      <w:proofErr w:type="spellEnd"/>
      <w:r w:rsidRPr="006A0980">
        <w:rPr>
          <w:rFonts w:cs="Times New Roman"/>
          <w:color w:val="000000" w:themeColor="text1"/>
        </w:rPr>
        <w:t xml:space="preserve"> in 2013, and 491.0 </w:t>
      </w:r>
      <w:proofErr w:type="spellStart"/>
      <w:r w:rsidRPr="006A0980">
        <w:rPr>
          <w:rFonts w:cs="Times New Roman"/>
          <w:color w:val="000000" w:themeColor="text1"/>
        </w:rPr>
        <w:t>GW.h</w:t>
      </w:r>
      <w:proofErr w:type="spellEnd"/>
      <w:r w:rsidRPr="006A0980">
        <w:rPr>
          <w:rFonts w:cs="Times New Roman"/>
          <w:color w:val="000000" w:themeColor="text1"/>
        </w:rPr>
        <w:t xml:space="preserve"> in 2012.</w:t>
      </w:r>
    </w:p>
    <w:p w:rsidR="00E4320D" w:rsidRPr="006A0980" w:rsidRDefault="00E4320D" w:rsidP="00796931">
      <w:pPr>
        <w:pStyle w:val="BodyText2"/>
        <w:bidi w:val="0"/>
        <w:ind w:left="284" w:right="720"/>
        <w:rPr>
          <w:rFonts w:cs="Times New Roman"/>
          <w:color w:val="FF0000"/>
        </w:rPr>
      </w:pPr>
    </w:p>
    <w:p w:rsidR="00DF37A9" w:rsidRPr="006A0980" w:rsidRDefault="00DF37A9" w:rsidP="00796931">
      <w:pPr>
        <w:jc w:val="lowKashida"/>
        <w:rPr>
          <w:b/>
          <w:bCs/>
          <w:color w:val="000000" w:themeColor="text1"/>
        </w:rPr>
      </w:pPr>
      <w:r w:rsidRPr="006A0980">
        <w:rPr>
          <w:b/>
          <w:bCs/>
          <w:color w:val="000000" w:themeColor="text1"/>
        </w:rPr>
        <w:t xml:space="preserve">3.   Solid Waste </w:t>
      </w:r>
    </w:p>
    <w:p w:rsidR="00DF37A9" w:rsidRPr="006A0980" w:rsidRDefault="00DF37A9" w:rsidP="006A0980">
      <w:pPr>
        <w:pStyle w:val="BodyText2"/>
        <w:numPr>
          <w:ilvl w:val="0"/>
          <w:numId w:val="5"/>
        </w:numPr>
        <w:tabs>
          <w:tab w:val="clear" w:pos="720"/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6A0980">
        <w:rPr>
          <w:rFonts w:cs="Times New Roman"/>
          <w:color w:val="000000" w:themeColor="text1"/>
        </w:rPr>
        <w:t>During 2016, the local authority was the doer of transporting the solid waste for 75.2% of schools in Jerusalem Governorate.</w:t>
      </w:r>
    </w:p>
    <w:p w:rsidR="00DF37A9" w:rsidRPr="006A0980" w:rsidRDefault="00DF37A9" w:rsidP="00796931">
      <w:pPr>
        <w:pStyle w:val="ListParagraph"/>
        <w:rPr>
          <w:color w:val="000000" w:themeColor="text1"/>
        </w:rPr>
      </w:pPr>
    </w:p>
    <w:p w:rsidR="006A0980" w:rsidRDefault="006A0980" w:rsidP="00796931">
      <w:pPr>
        <w:pStyle w:val="ListParagraph"/>
        <w:rPr>
          <w:color w:val="000000" w:themeColor="text1"/>
        </w:rPr>
      </w:pPr>
    </w:p>
    <w:p w:rsidR="006A0980" w:rsidRPr="00DF37A9" w:rsidRDefault="006A0980" w:rsidP="00796931">
      <w:pPr>
        <w:pStyle w:val="ListParagraph"/>
        <w:rPr>
          <w:color w:val="000000" w:themeColor="text1"/>
        </w:rPr>
      </w:pPr>
    </w:p>
    <w:p w:rsidR="00DF37A9" w:rsidRPr="006A0980" w:rsidRDefault="00DF37A9" w:rsidP="00796931">
      <w:pPr>
        <w:jc w:val="lowKashida"/>
        <w:rPr>
          <w:b/>
          <w:bCs/>
          <w:color w:val="000000" w:themeColor="text1"/>
        </w:rPr>
      </w:pPr>
      <w:r w:rsidRPr="006A0980">
        <w:rPr>
          <w:b/>
          <w:bCs/>
          <w:color w:val="000000" w:themeColor="text1"/>
        </w:rPr>
        <w:lastRenderedPageBreak/>
        <w:t>4. Wastewater Services</w:t>
      </w:r>
    </w:p>
    <w:p w:rsidR="00DF37A9" w:rsidRPr="006A0980" w:rsidRDefault="00DF37A9" w:rsidP="006A0980">
      <w:pPr>
        <w:pStyle w:val="BodyText2"/>
        <w:numPr>
          <w:ilvl w:val="0"/>
          <w:numId w:val="4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6A0980">
        <w:rPr>
          <w:rFonts w:cs="Times New Roman"/>
          <w:color w:val="000000" w:themeColor="text1"/>
        </w:rPr>
        <w:t xml:space="preserve">65.9% of schools in Jerusalem Governorate used the wastewater network to dispose of their wastewater, 29.2% used porous cesspits, and 4.0% used </w:t>
      </w:r>
      <w:r w:rsidRPr="006A0980">
        <w:rPr>
          <w:rFonts w:cs="Times New Roman"/>
          <w:noProof/>
          <w:color w:val="000000" w:themeColor="text1"/>
        </w:rPr>
        <w:t xml:space="preserve">tight </w:t>
      </w:r>
      <w:r w:rsidRPr="006A0980">
        <w:rPr>
          <w:rFonts w:cs="Times New Roman"/>
          <w:color w:val="000000" w:themeColor="text1"/>
        </w:rPr>
        <w:t>cesspits in 2016.</w:t>
      </w:r>
    </w:p>
    <w:p w:rsidR="00294CED" w:rsidRPr="006A0980" w:rsidRDefault="00294CED" w:rsidP="00796931">
      <w:pPr>
        <w:overflowPunct/>
        <w:autoSpaceDE/>
        <w:autoSpaceDN/>
        <w:adjustRightInd/>
        <w:textAlignment w:val="auto"/>
        <w:rPr>
          <w:b/>
          <w:bCs/>
          <w:color w:val="000000" w:themeColor="text1"/>
        </w:rPr>
      </w:pPr>
    </w:p>
    <w:p w:rsidR="00DB6345" w:rsidRPr="006A0980" w:rsidRDefault="00DB6345" w:rsidP="00796931">
      <w:pPr>
        <w:overflowPunct/>
        <w:autoSpaceDE/>
        <w:autoSpaceDN/>
        <w:adjustRightInd/>
        <w:textAlignment w:val="auto"/>
        <w:rPr>
          <w:b/>
          <w:bCs/>
          <w:color w:val="000000" w:themeColor="text1"/>
        </w:rPr>
      </w:pPr>
      <w:r w:rsidRPr="006A0980">
        <w:rPr>
          <w:b/>
          <w:bCs/>
          <w:color w:val="000000" w:themeColor="text1"/>
        </w:rPr>
        <w:t xml:space="preserve">Security and </w:t>
      </w:r>
      <w:r w:rsidR="005443CC" w:rsidRPr="006A0980">
        <w:rPr>
          <w:b/>
          <w:bCs/>
          <w:color w:val="000000" w:themeColor="text1"/>
        </w:rPr>
        <w:t>J</w:t>
      </w:r>
      <w:r w:rsidRPr="006A0980">
        <w:rPr>
          <w:b/>
          <w:bCs/>
          <w:color w:val="000000" w:themeColor="text1"/>
        </w:rPr>
        <w:t>ustice</w:t>
      </w:r>
    </w:p>
    <w:p w:rsidR="00DB6345" w:rsidRPr="006A0980" w:rsidRDefault="00ED6207" w:rsidP="00000F4F">
      <w:pPr>
        <w:pStyle w:val="BodyText2"/>
        <w:numPr>
          <w:ilvl w:val="0"/>
          <w:numId w:val="4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6A0980">
        <w:rPr>
          <w:rFonts w:cs="Times New Roman"/>
          <w:color w:val="000000" w:themeColor="text1"/>
        </w:rPr>
        <w:t>In 2013, a</w:t>
      </w:r>
      <w:r w:rsidR="00DB6345" w:rsidRPr="006A0980">
        <w:rPr>
          <w:rFonts w:cs="Times New Roman"/>
          <w:color w:val="000000" w:themeColor="text1"/>
        </w:rPr>
        <w:t xml:space="preserve">round 59.4% of households in </w:t>
      </w:r>
      <w:r w:rsidR="009D489E" w:rsidRPr="006A0980">
        <w:rPr>
          <w:rFonts w:cs="Times New Roman"/>
          <w:color w:val="000000" w:themeColor="text1"/>
        </w:rPr>
        <w:t xml:space="preserve">Jerusalem Governorate </w:t>
      </w:r>
      <w:r w:rsidR="00DB6345" w:rsidRPr="006A0980">
        <w:rPr>
          <w:rFonts w:cs="Times New Roman"/>
          <w:color w:val="000000" w:themeColor="text1"/>
        </w:rPr>
        <w:t>believe</w:t>
      </w:r>
      <w:r w:rsidRPr="006A0980">
        <w:rPr>
          <w:rFonts w:cs="Times New Roman"/>
          <w:color w:val="000000" w:themeColor="text1"/>
        </w:rPr>
        <w:t>d</w:t>
      </w:r>
      <w:r w:rsidR="00DB6345" w:rsidRPr="006A0980">
        <w:rPr>
          <w:rFonts w:cs="Times New Roman"/>
          <w:color w:val="000000" w:themeColor="text1"/>
        </w:rPr>
        <w:t xml:space="preserve"> that there </w:t>
      </w:r>
      <w:r w:rsidR="00000F4F">
        <w:rPr>
          <w:color w:val="000000" w:themeColor="text1"/>
        </w:rPr>
        <w:t>were</w:t>
      </w:r>
      <w:r w:rsidR="00DB6345" w:rsidRPr="006A0980">
        <w:rPr>
          <w:rFonts w:cs="Times New Roman"/>
          <w:color w:val="000000" w:themeColor="text1"/>
        </w:rPr>
        <w:t xml:space="preserve"> people who take drugs in their neighborhood and 4.7% of households </w:t>
      </w:r>
      <w:r w:rsidR="00000F4F" w:rsidRPr="000562F6">
        <w:rPr>
          <w:color w:val="000000" w:themeColor="text1"/>
        </w:rPr>
        <w:t>ha</w:t>
      </w:r>
      <w:r w:rsidR="00000F4F">
        <w:rPr>
          <w:color w:val="000000" w:themeColor="text1"/>
        </w:rPr>
        <w:t>d</w:t>
      </w:r>
      <w:r w:rsidR="00DB6345" w:rsidRPr="006A0980">
        <w:rPr>
          <w:rFonts w:cs="Times New Roman"/>
          <w:color w:val="000000" w:themeColor="text1"/>
        </w:rPr>
        <w:t xml:space="preserve"> members who were harassed by drug addicts.</w:t>
      </w:r>
    </w:p>
    <w:p w:rsidR="00E354D3" w:rsidRPr="006A0980" w:rsidRDefault="00ED6207" w:rsidP="006A0980">
      <w:pPr>
        <w:pStyle w:val="BodyText2"/>
        <w:numPr>
          <w:ilvl w:val="0"/>
          <w:numId w:val="4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6A0980">
        <w:rPr>
          <w:rFonts w:cs="Times New Roman"/>
          <w:color w:val="000000" w:themeColor="text1"/>
        </w:rPr>
        <w:t>In 2013, h</w:t>
      </w:r>
      <w:r w:rsidR="00DB6345" w:rsidRPr="006A0980">
        <w:rPr>
          <w:rFonts w:cs="Times New Roman"/>
          <w:color w:val="000000" w:themeColor="text1"/>
        </w:rPr>
        <w:t xml:space="preserve">ouseholds in </w:t>
      </w:r>
      <w:r w:rsidR="009D489E" w:rsidRPr="006A0980">
        <w:rPr>
          <w:rFonts w:cs="Times New Roman"/>
          <w:color w:val="000000" w:themeColor="text1"/>
        </w:rPr>
        <w:t xml:space="preserve">Jerusalem Governorate </w:t>
      </w:r>
      <w:r w:rsidR="00DB6345" w:rsidRPr="006A0980">
        <w:rPr>
          <w:rFonts w:cs="Times New Roman"/>
          <w:color w:val="000000" w:themeColor="text1"/>
        </w:rPr>
        <w:t>believe</w:t>
      </w:r>
      <w:r w:rsidRPr="006A0980">
        <w:rPr>
          <w:rFonts w:cs="Times New Roman"/>
          <w:color w:val="000000" w:themeColor="text1"/>
        </w:rPr>
        <w:t>d</w:t>
      </w:r>
      <w:r w:rsidR="00DB6345" w:rsidRPr="006A0980">
        <w:rPr>
          <w:rFonts w:cs="Times New Roman"/>
          <w:color w:val="000000" w:themeColor="text1"/>
        </w:rPr>
        <w:t xml:space="preserve"> that the main three reasons for drug addiction </w:t>
      </w:r>
      <w:r w:rsidR="00E1149D" w:rsidRPr="006A0980">
        <w:rPr>
          <w:rFonts w:cs="Times New Roman"/>
          <w:color w:val="000000" w:themeColor="text1"/>
        </w:rPr>
        <w:t xml:space="preserve">were </w:t>
      </w:r>
      <w:r w:rsidR="00DB6345" w:rsidRPr="006A0980">
        <w:rPr>
          <w:rFonts w:cs="Times New Roman"/>
          <w:color w:val="000000" w:themeColor="text1"/>
        </w:rPr>
        <w:t xml:space="preserve">failure </w:t>
      </w:r>
      <w:r w:rsidR="009D7189" w:rsidRPr="006A0980">
        <w:rPr>
          <w:rFonts w:cs="Times New Roman"/>
          <w:color w:val="000000" w:themeColor="text1"/>
        </w:rPr>
        <w:t xml:space="preserve">of parental control over children </w:t>
      </w:r>
      <w:r w:rsidR="00DB6345" w:rsidRPr="006A0980">
        <w:rPr>
          <w:rFonts w:cs="Times New Roman"/>
          <w:color w:val="000000" w:themeColor="text1"/>
        </w:rPr>
        <w:t>(28.</w:t>
      </w:r>
      <w:r w:rsidR="00C76EAA" w:rsidRPr="006A0980">
        <w:rPr>
          <w:rFonts w:cs="Times New Roman"/>
          <w:color w:val="000000" w:themeColor="text1"/>
        </w:rPr>
        <w:t>8</w:t>
      </w:r>
      <w:r w:rsidR="00DB6345" w:rsidRPr="006A0980">
        <w:rPr>
          <w:rFonts w:cs="Times New Roman"/>
          <w:color w:val="000000" w:themeColor="text1"/>
        </w:rPr>
        <w:t>%), economic problems (16.0%) and social problems (15.0%).</w:t>
      </w:r>
    </w:p>
    <w:p w:rsidR="00E354D3" w:rsidRPr="006A0980" w:rsidRDefault="00DB6345" w:rsidP="006A0980">
      <w:pPr>
        <w:pStyle w:val="BodyText2"/>
        <w:numPr>
          <w:ilvl w:val="0"/>
          <w:numId w:val="4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6A0980">
        <w:rPr>
          <w:rFonts w:cs="Times New Roman"/>
          <w:color w:val="000000" w:themeColor="text1"/>
        </w:rPr>
        <w:t xml:space="preserve">Around 3.0% of households in </w:t>
      </w:r>
      <w:r w:rsidR="009D489E" w:rsidRPr="006A0980">
        <w:rPr>
          <w:rFonts w:cs="Times New Roman"/>
          <w:color w:val="000000" w:themeColor="text1"/>
        </w:rPr>
        <w:t xml:space="preserve">Jerusalem Governorate </w:t>
      </w:r>
      <w:r w:rsidR="00E1149D" w:rsidRPr="006A0980">
        <w:rPr>
          <w:rFonts w:cs="Times New Roman"/>
          <w:color w:val="000000" w:themeColor="text1"/>
        </w:rPr>
        <w:t>endured</w:t>
      </w:r>
      <w:r w:rsidRPr="006A0980">
        <w:rPr>
          <w:rFonts w:cs="Times New Roman"/>
          <w:color w:val="000000" w:themeColor="text1"/>
        </w:rPr>
        <w:t xml:space="preserve"> to a criminal offense (2.9% in Area J1 and 3.1% in Area J2)</w:t>
      </w:r>
      <w:r w:rsidR="00ED6207" w:rsidRPr="006A0980">
        <w:rPr>
          <w:rFonts w:cs="Times New Roman"/>
          <w:color w:val="000000" w:themeColor="text1"/>
        </w:rPr>
        <w:t>.</w:t>
      </w:r>
      <w:r w:rsidRPr="006A0980">
        <w:rPr>
          <w:rFonts w:cs="Times New Roman"/>
          <w:color w:val="000000" w:themeColor="text1"/>
        </w:rPr>
        <w:t xml:space="preserve"> </w:t>
      </w:r>
      <w:r w:rsidR="00E1149D" w:rsidRPr="006A0980">
        <w:rPr>
          <w:rFonts w:cs="Times New Roman"/>
          <w:color w:val="000000" w:themeColor="text1"/>
        </w:rPr>
        <w:t xml:space="preserve">The </w:t>
      </w:r>
      <w:r w:rsidR="0071408B" w:rsidRPr="006A0980">
        <w:rPr>
          <w:rFonts w:cs="Times New Roman"/>
          <w:color w:val="000000" w:themeColor="text1"/>
        </w:rPr>
        <w:t xml:space="preserve">victim and clan </w:t>
      </w:r>
      <w:r w:rsidR="00E1149D" w:rsidRPr="006A0980">
        <w:rPr>
          <w:rFonts w:cs="Times New Roman"/>
          <w:color w:val="000000" w:themeColor="text1"/>
        </w:rPr>
        <w:t xml:space="preserve">paid compensation for physical harm </w:t>
      </w:r>
      <w:r w:rsidRPr="006A0980">
        <w:rPr>
          <w:rFonts w:cs="Times New Roman"/>
          <w:color w:val="000000" w:themeColor="text1"/>
        </w:rPr>
        <w:t xml:space="preserve">in 86.9% of cases, </w:t>
      </w:r>
      <w:r w:rsidR="0071408B" w:rsidRPr="006A0980">
        <w:rPr>
          <w:rFonts w:cs="Times New Roman"/>
          <w:color w:val="000000" w:themeColor="text1"/>
        </w:rPr>
        <w:t xml:space="preserve">crime port and clan </w:t>
      </w:r>
      <w:r w:rsidR="00E1149D" w:rsidRPr="006A0980">
        <w:rPr>
          <w:rFonts w:cs="Times New Roman"/>
          <w:color w:val="000000" w:themeColor="text1"/>
        </w:rPr>
        <w:t xml:space="preserve">in </w:t>
      </w:r>
      <w:r w:rsidRPr="006A0980">
        <w:rPr>
          <w:rFonts w:cs="Times New Roman"/>
          <w:color w:val="000000" w:themeColor="text1"/>
        </w:rPr>
        <w:t xml:space="preserve">7.3% </w:t>
      </w:r>
      <w:r w:rsidR="00E1149D" w:rsidRPr="006A0980">
        <w:rPr>
          <w:rFonts w:cs="Times New Roman"/>
          <w:color w:val="000000" w:themeColor="text1"/>
        </w:rPr>
        <w:t>of cases</w:t>
      </w:r>
      <w:r w:rsidRPr="006A0980">
        <w:rPr>
          <w:rFonts w:cs="Times New Roman"/>
          <w:color w:val="000000" w:themeColor="text1"/>
        </w:rPr>
        <w:t xml:space="preserve">, and insurance companies </w:t>
      </w:r>
      <w:r w:rsidR="00E1149D" w:rsidRPr="006A0980">
        <w:rPr>
          <w:rFonts w:cs="Times New Roman"/>
          <w:color w:val="000000" w:themeColor="text1"/>
        </w:rPr>
        <w:t>covered</w:t>
      </w:r>
      <w:r w:rsidRPr="006A0980">
        <w:rPr>
          <w:rFonts w:cs="Times New Roman"/>
          <w:color w:val="000000" w:themeColor="text1"/>
        </w:rPr>
        <w:t xml:space="preserve"> 5.8%</w:t>
      </w:r>
      <w:r w:rsidR="00E1149D" w:rsidRPr="006A0980">
        <w:rPr>
          <w:rFonts w:cs="Times New Roman"/>
          <w:color w:val="000000" w:themeColor="text1"/>
        </w:rPr>
        <w:t xml:space="preserve"> of cases</w:t>
      </w:r>
      <w:r w:rsidRPr="006A0980">
        <w:rPr>
          <w:rFonts w:cs="Times New Roman"/>
          <w:color w:val="000000" w:themeColor="text1"/>
        </w:rPr>
        <w:t>.</w:t>
      </w:r>
    </w:p>
    <w:p w:rsidR="00CA0A44" w:rsidRPr="006A0980" w:rsidRDefault="00CA0A44" w:rsidP="00796931">
      <w:pPr>
        <w:pStyle w:val="xl42"/>
        <w:pBdr>
          <w:bottom w:val="none" w:sz="0" w:space="0" w:color="auto"/>
          <w:right w:val="none" w:sz="0" w:space="0" w:color="auto"/>
        </w:pBdr>
        <w:spacing w:before="0" w:beforeAutospacing="0" w:after="0" w:afterAutospacing="0"/>
        <w:ind w:left="360" w:right="360"/>
        <w:textAlignment w:val="auto"/>
        <w:rPr>
          <w:color w:val="000000" w:themeColor="text1"/>
          <w:lang w:eastAsia="en-US"/>
        </w:rPr>
      </w:pPr>
    </w:p>
    <w:p w:rsidR="00F15D3F" w:rsidRDefault="00E520E5" w:rsidP="00000F4F">
      <w:pPr>
        <w:pStyle w:val="xl42"/>
        <w:pBdr>
          <w:bottom w:val="none" w:sz="0" w:space="0" w:color="auto"/>
          <w:right w:val="none" w:sz="0" w:space="0" w:color="auto"/>
        </w:pBdr>
        <w:spacing w:before="0" w:beforeAutospacing="0" w:after="0" w:afterAutospacing="0"/>
        <w:textAlignment w:val="auto"/>
        <w:rPr>
          <w:rFonts w:ascii="Arial" w:hAnsi="Arial" w:cs="Arial"/>
          <w:color w:val="000000" w:themeColor="text1"/>
          <w:lang w:eastAsia="en-US"/>
        </w:rPr>
      </w:pPr>
      <w:r w:rsidRPr="000562F6">
        <w:rPr>
          <w:rFonts w:ascii="Arial" w:hAnsi="Arial" w:cs="Arial"/>
          <w:color w:val="000000" w:themeColor="text1"/>
          <w:lang w:eastAsia="en-US"/>
        </w:rPr>
        <w:t>Percentage Distribution of Palestinian Households which</w:t>
      </w:r>
      <w:r w:rsidR="00000F4F">
        <w:rPr>
          <w:rFonts w:ascii="Arial" w:hAnsi="Arial" w:cs="Arial"/>
          <w:color w:val="000000" w:themeColor="text1"/>
          <w:lang w:eastAsia="en-US"/>
        </w:rPr>
        <w:t xml:space="preserve"> were</w:t>
      </w:r>
      <w:r w:rsidRPr="000562F6">
        <w:rPr>
          <w:rFonts w:ascii="Arial" w:hAnsi="Arial" w:cs="Arial"/>
          <w:color w:val="000000" w:themeColor="text1"/>
          <w:lang w:eastAsia="en-US"/>
        </w:rPr>
        <w:t xml:space="preserve"> Subject to </w:t>
      </w:r>
    </w:p>
    <w:p w:rsidR="00F15D3F" w:rsidRDefault="00E520E5" w:rsidP="00F15D3F">
      <w:pPr>
        <w:pStyle w:val="xl42"/>
        <w:pBdr>
          <w:bottom w:val="none" w:sz="0" w:space="0" w:color="auto"/>
          <w:right w:val="none" w:sz="0" w:space="0" w:color="auto"/>
        </w:pBdr>
        <w:spacing w:before="0" w:beforeAutospacing="0" w:after="0" w:afterAutospacing="0"/>
        <w:textAlignment w:val="auto"/>
        <w:rPr>
          <w:rFonts w:ascii="Arial" w:hAnsi="Arial" w:cs="Arial"/>
          <w:color w:val="000000" w:themeColor="text1"/>
          <w:lang w:eastAsia="en-US"/>
        </w:rPr>
      </w:pPr>
      <w:r w:rsidRPr="000562F6">
        <w:rPr>
          <w:rFonts w:ascii="Arial" w:hAnsi="Arial" w:cs="Arial"/>
          <w:color w:val="000000" w:themeColor="text1"/>
          <w:lang w:eastAsia="en-US"/>
        </w:rPr>
        <w:t>Criminal Offense During Previous 12 Months by Party Carried out Burden</w:t>
      </w:r>
    </w:p>
    <w:p w:rsidR="00B35A1A" w:rsidRDefault="00F15D3F" w:rsidP="00F15D3F">
      <w:pPr>
        <w:pStyle w:val="xl42"/>
        <w:pBdr>
          <w:bottom w:val="none" w:sz="0" w:space="0" w:color="auto"/>
          <w:right w:val="none" w:sz="0" w:space="0" w:color="auto"/>
        </w:pBdr>
        <w:spacing w:before="0" w:beforeAutospacing="0" w:after="0" w:afterAutospacing="0"/>
        <w:textAlignment w:val="auto"/>
        <w:rPr>
          <w:rFonts w:ascii="Arial" w:hAnsi="Arial" w:cs="Arial"/>
          <w:color w:val="000000" w:themeColor="text1"/>
          <w:lang w:eastAsia="en-US"/>
        </w:rPr>
      </w:pPr>
      <w:r>
        <w:rPr>
          <w:rFonts w:ascii="Arial" w:hAnsi="Arial" w:cs="Arial"/>
          <w:color w:val="000000" w:themeColor="text1"/>
          <w:lang w:eastAsia="en-US"/>
        </w:rPr>
        <w:t>o</w:t>
      </w:r>
      <w:r w:rsidR="00E520E5" w:rsidRPr="000562F6">
        <w:rPr>
          <w:rFonts w:ascii="Arial" w:hAnsi="Arial" w:cs="Arial"/>
          <w:color w:val="000000" w:themeColor="text1"/>
          <w:lang w:eastAsia="en-US"/>
        </w:rPr>
        <w:t>f</w:t>
      </w:r>
      <w:r>
        <w:rPr>
          <w:rFonts w:ascii="Arial" w:hAnsi="Arial" w:cs="Arial"/>
          <w:color w:val="000000" w:themeColor="text1"/>
          <w:lang w:eastAsia="en-US"/>
        </w:rPr>
        <w:t xml:space="preserve"> </w:t>
      </w:r>
      <w:r w:rsidR="00A8286F" w:rsidRPr="000562F6">
        <w:rPr>
          <w:rFonts w:ascii="Arial" w:hAnsi="Arial" w:cs="Arial"/>
          <w:color w:val="000000" w:themeColor="text1"/>
          <w:lang w:eastAsia="en-US"/>
        </w:rPr>
        <w:t>Physical</w:t>
      </w:r>
      <w:r w:rsidR="00E520E5" w:rsidRPr="000562F6">
        <w:rPr>
          <w:rFonts w:ascii="Arial" w:hAnsi="Arial" w:cs="Arial"/>
          <w:color w:val="000000" w:themeColor="text1"/>
          <w:lang w:eastAsia="en-US"/>
        </w:rPr>
        <w:t xml:space="preserve"> Damage, 2013</w:t>
      </w:r>
    </w:p>
    <w:p w:rsidR="00B35A1A" w:rsidRPr="00B35A1A" w:rsidRDefault="00B35A1A" w:rsidP="00796931">
      <w:pPr>
        <w:pStyle w:val="xl42"/>
        <w:pBdr>
          <w:bottom w:val="none" w:sz="0" w:space="0" w:color="auto"/>
          <w:right w:val="none" w:sz="0" w:space="0" w:color="auto"/>
        </w:pBdr>
        <w:spacing w:before="0" w:beforeAutospacing="0" w:after="0" w:afterAutospacing="0"/>
        <w:ind w:left="360" w:right="360"/>
        <w:textAlignment w:val="auto"/>
        <w:rPr>
          <w:rFonts w:ascii="Arial" w:hAnsi="Arial" w:cs="Arial"/>
          <w:color w:val="000000" w:themeColor="text1"/>
          <w:sz w:val="10"/>
          <w:szCs w:val="10"/>
          <w:lang w:eastAsia="en-US"/>
        </w:rPr>
      </w:pPr>
    </w:p>
    <w:p w:rsidR="00CD65EE" w:rsidRPr="000562F6" w:rsidRDefault="00E520E5" w:rsidP="00F15D3F">
      <w:pPr>
        <w:pStyle w:val="xl42"/>
        <w:pBdr>
          <w:bottom w:val="none" w:sz="0" w:space="0" w:color="auto"/>
          <w:right w:val="none" w:sz="0" w:space="0" w:color="auto"/>
        </w:pBdr>
        <w:spacing w:before="0" w:beforeAutospacing="0" w:after="0" w:afterAutospacing="0"/>
        <w:textAlignment w:val="auto"/>
        <w:rPr>
          <w:b w:val="0"/>
          <w:bCs w:val="0"/>
          <w:color w:val="000000" w:themeColor="text1"/>
          <w:sz w:val="22"/>
          <w:szCs w:val="22"/>
          <w:rtl/>
        </w:rPr>
      </w:pPr>
      <w:r w:rsidRPr="000562F6">
        <w:rPr>
          <w:noProof/>
          <w:color w:val="000000" w:themeColor="text1"/>
          <w:bdr w:val="single" w:sz="4" w:space="0" w:color="auto"/>
          <w:lang w:eastAsia="en-US"/>
        </w:rPr>
        <w:drawing>
          <wp:inline distT="0" distB="0" distL="0" distR="0">
            <wp:extent cx="3889420" cy="1551904"/>
            <wp:effectExtent l="0" t="0" r="0" b="0"/>
            <wp:docPr id="9" name="Object 19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FF7108" w:rsidRPr="00F15D3F" w:rsidRDefault="00FF7108" w:rsidP="00796931">
      <w:pPr>
        <w:ind w:left="14"/>
        <w:jc w:val="center"/>
        <w:rPr>
          <w:rFonts w:ascii="Arial" w:hAnsi="Arial" w:cs="Arial"/>
          <w:b/>
          <w:bCs/>
          <w:sz w:val="36"/>
          <w:szCs w:val="36"/>
        </w:rPr>
      </w:pPr>
    </w:p>
    <w:p w:rsidR="00846B7B" w:rsidRDefault="00846B7B" w:rsidP="00000F4F">
      <w:pPr>
        <w:ind w:left="14"/>
        <w:jc w:val="center"/>
        <w:rPr>
          <w:rFonts w:ascii="Arial" w:hAnsi="Arial" w:cs="Arial"/>
          <w:b/>
          <w:bCs/>
          <w:sz w:val="18"/>
          <w:szCs w:val="18"/>
        </w:rPr>
      </w:pPr>
      <w:r w:rsidRPr="007F1511">
        <w:rPr>
          <w:rFonts w:ascii="Arial" w:hAnsi="Arial" w:cs="Arial"/>
          <w:b/>
          <w:bCs/>
          <w:sz w:val="18"/>
          <w:szCs w:val="18"/>
        </w:rPr>
        <w:t xml:space="preserve">Percentage Distribution of Palestinian Households </w:t>
      </w:r>
      <w:r w:rsidR="00FF7108">
        <w:rPr>
          <w:rFonts w:ascii="Arial" w:hAnsi="Arial" w:cs="Arial"/>
          <w:b/>
          <w:bCs/>
          <w:sz w:val="18"/>
          <w:szCs w:val="18"/>
        </w:rPr>
        <w:t xml:space="preserve">that Believe there are Drug Addicts in </w:t>
      </w:r>
      <w:r w:rsidR="00000F4F">
        <w:rPr>
          <w:rFonts w:ascii="Arial" w:hAnsi="Arial" w:cs="Arial"/>
          <w:b/>
          <w:bCs/>
          <w:sz w:val="18"/>
          <w:szCs w:val="18"/>
        </w:rPr>
        <w:t>their</w:t>
      </w:r>
      <w:r w:rsidR="00FF7108">
        <w:rPr>
          <w:rFonts w:ascii="Arial" w:hAnsi="Arial" w:cs="Arial"/>
          <w:b/>
          <w:bCs/>
          <w:sz w:val="18"/>
          <w:szCs w:val="18"/>
        </w:rPr>
        <w:t xml:space="preserve"> Environment </w:t>
      </w:r>
      <w:r w:rsidRPr="007F1511">
        <w:rPr>
          <w:rFonts w:ascii="Arial" w:hAnsi="Arial" w:cs="Arial"/>
          <w:b/>
          <w:bCs/>
          <w:sz w:val="18"/>
          <w:szCs w:val="18"/>
        </w:rPr>
        <w:t xml:space="preserve">in Jerusalem Governorate by </w:t>
      </w:r>
      <w:r w:rsidR="00FF7108">
        <w:rPr>
          <w:rFonts w:ascii="Arial" w:hAnsi="Arial" w:cs="Arial"/>
          <w:b/>
          <w:bCs/>
          <w:sz w:val="18"/>
          <w:szCs w:val="18"/>
        </w:rPr>
        <w:t>Area</w:t>
      </w:r>
      <w:r w:rsidRPr="007F1511">
        <w:rPr>
          <w:rFonts w:ascii="Arial" w:hAnsi="Arial" w:cs="Arial"/>
          <w:b/>
          <w:bCs/>
          <w:sz w:val="18"/>
          <w:szCs w:val="18"/>
        </w:rPr>
        <w:t>, 2013</w:t>
      </w:r>
    </w:p>
    <w:p w:rsidR="00FF7108" w:rsidRPr="00F15D3F" w:rsidRDefault="00FF7108" w:rsidP="00796931">
      <w:pPr>
        <w:ind w:left="14"/>
        <w:jc w:val="center"/>
        <w:rPr>
          <w:b/>
          <w:bCs/>
          <w:color w:val="000000" w:themeColor="text1"/>
          <w:sz w:val="6"/>
          <w:szCs w:val="6"/>
        </w:rPr>
      </w:pPr>
    </w:p>
    <w:p w:rsidR="000B59DF" w:rsidRPr="000562F6" w:rsidRDefault="000B59DF" w:rsidP="00796931">
      <w:pPr>
        <w:ind w:left="14"/>
        <w:jc w:val="center"/>
        <w:rPr>
          <w:b/>
          <w:bCs/>
          <w:color w:val="000000" w:themeColor="text1"/>
        </w:rPr>
      </w:pPr>
      <w:r w:rsidRPr="00FF7108">
        <w:rPr>
          <w:b/>
          <w:bCs/>
          <w:noProof/>
          <w:color w:val="000000" w:themeColor="text1"/>
          <w:bdr w:val="single" w:sz="4" w:space="0" w:color="auto"/>
        </w:rPr>
        <w:drawing>
          <wp:inline distT="0" distB="0" distL="0" distR="0">
            <wp:extent cx="4243858" cy="1912513"/>
            <wp:effectExtent l="19050" t="0" r="4292" b="0"/>
            <wp:docPr id="15" name="Picture 4" descr="C:\Users\maen\AppData\Local\Microsoft\Windows\INetCache\Content.Word\E_Quds_Drug_Addi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en\AppData\Local\Microsoft\Windows\INetCache\Content.Word\E_Quds_Drug_Addict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26253" t="11426" r="7968" b="442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1690" cy="19115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35DF" w:rsidRPr="000562F6" w:rsidRDefault="00A235DF" w:rsidP="00796931">
      <w:pPr>
        <w:tabs>
          <w:tab w:val="num" w:pos="0"/>
          <w:tab w:val="left" w:pos="426"/>
        </w:tabs>
        <w:jc w:val="lowKashida"/>
        <w:rPr>
          <w:rFonts w:cs="Simplified Arabic"/>
          <w:b/>
          <w:bCs/>
          <w:color w:val="000000" w:themeColor="text1"/>
        </w:rPr>
      </w:pPr>
      <w:r w:rsidRPr="000562F6">
        <w:rPr>
          <w:rFonts w:cs="Simplified Arabic"/>
          <w:b/>
          <w:bCs/>
          <w:color w:val="000000" w:themeColor="text1"/>
        </w:rPr>
        <w:lastRenderedPageBreak/>
        <w:t>Establishments</w:t>
      </w:r>
    </w:p>
    <w:p w:rsidR="00A235DF" w:rsidRPr="00F15D3F" w:rsidRDefault="00834970" w:rsidP="00000F4F">
      <w:pPr>
        <w:pStyle w:val="BodyText2"/>
        <w:numPr>
          <w:ilvl w:val="0"/>
          <w:numId w:val="4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F15D3F">
        <w:rPr>
          <w:rFonts w:cs="Times New Roman"/>
          <w:color w:val="000000" w:themeColor="text1"/>
        </w:rPr>
        <w:t xml:space="preserve">In 2012, there were 9,570 establishments operating in the private sector, </w:t>
      </w:r>
      <w:r w:rsidR="00C17752" w:rsidRPr="00F15D3F">
        <w:rPr>
          <w:rFonts w:cs="Times New Roman"/>
          <w:color w:val="000000" w:themeColor="text1"/>
        </w:rPr>
        <w:t>as non-governmental organizations and government</w:t>
      </w:r>
      <w:r w:rsidR="00C17752" w:rsidRPr="00F15D3F">
        <w:rPr>
          <w:rFonts w:cs="Times New Roman"/>
          <w:color w:val="000000" w:themeColor="text1"/>
          <w:rtl/>
        </w:rPr>
        <w:t xml:space="preserve"> </w:t>
      </w:r>
      <w:r w:rsidR="00C17752" w:rsidRPr="00F15D3F">
        <w:rPr>
          <w:rFonts w:cs="Times New Roman"/>
          <w:color w:val="000000" w:themeColor="text1"/>
        </w:rPr>
        <w:t xml:space="preserve">companies in Jerusalem </w:t>
      </w:r>
      <w:r w:rsidR="00000F4F">
        <w:rPr>
          <w:color w:val="000000" w:themeColor="text1"/>
        </w:rPr>
        <w:t>G</w:t>
      </w:r>
      <w:r w:rsidR="00000F4F" w:rsidRPr="000562F6">
        <w:rPr>
          <w:color w:val="000000" w:themeColor="text1"/>
        </w:rPr>
        <w:t>overnorate</w:t>
      </w:r>
      <w:r w:rsidRPr="00F15D3F">
        <w:rPr>
          <w:rFonts w:cs="Times New Roman"/>
          <w:color w:val="000000" w:themeColor="text1"/>
        </w:rPr>
        <w:t xml:space="preserve">. </w:t>
      </w:r>
      <w:r w:rsidR="00000F4F" w:rsidRPr="000562F6">
        <w:rPr>
          <w:color w:val="000000" w:themeColor="text1"/>
        </w:rPr>
        <w:t>Th</w:t>
      </w:r>
      <w:r w:rsidR="00000F4F">
        <w:rPr>
          <w:color w:val="000000" w:themeColor="text1"/>
        </w:rPr>
        <w:t>o</w:t>
      </w:r>
      <w:r w:rsidR="00000F4F" w:rsidRPr="000562F6">
        <w:rPr>
          <w:color w:val="000000" w:themeColor="text1"/>
        </w:rPr>
        <w:t>se</w:t>
      </w:r>
      <w:r w:rsidRPr="00F15D3F">
        <w:rPr>
          <w:rFonts w:cs="Times New Roman"/>
          <w:color w:val="000000" w:themeColor="text1"/>
        </w:rPr>
        <w:t xml:space="preserve"> establishments employed 31,310 workers, of wh</w:t>
      </w:r>
      <w:r w:rsidR="00FB7CB6" w:rsidRPr="00F15D3F">
        <w:rPr>
          <w:rFonts w:cs="Times New Roman"/>
          <w:color w:val="000000" w:themeColor="text1"/>
        </w:rPr>
        <w:t>om</w:t>
      </w:r>
      <w:r w:rsidRPr="00F15D3F">
        <w:rPr>
          <w:rFonts w:cs="Times New Roman"/>
          <w:color w:val="000000" w:themeColor="text1"/>
        </w:rPr>
        <w:t xml:space="preserve"> 12,375 were in </w:t>
      </w:r>
      <w:r w:rsidR="00E63CE2" w:rsidRPr="00F15D3F">
        <w:rPr>
          <w:rFonts w:cs="Times New Roman"/>
          <w:color w:val="000000" w:themeColor="text1"/>
        </w:rPr>
        <w:t xml:space="preserve">Area </w:t>
      </w:r>
      <w:r w:rsidRPr="00F15D3F">
        <w:rPr>
          <w:rFonts w:cs="Times New Roman"/>
          <w:color w:val="000000" w:themeColor="text1"/>
        </w:rPr>
        <w:t xml:space="preserve">J2 and 18,935 in </w:t>
      </w:r>
      <w:r w:rsidR="00E63CE2" w:rsidRPr="00F15D3F">
        <w:rPr>
          <w:rFonts w:cs="Times New Roman"/>
          <w:color w:val="000000" w:themeColor="text1"/>
        </w:rPr>
        <w:t xml:space="preserve">Area </w:t>
      </w:r>
      <w:r w:rsidRPr="00F15D3F">
        <w:rPr>
          <w:rFonts w:cs="Times New Roman"/>
          <w:color w:val="000000" w:themeColor="text1"/>
        </w:rPr>
        <w:t>J1</w:t>
      </w:r>
      <w:r w:rsidR="00A235DF" w:rsidRPr="00F15D3F">
        <w:rPr>
          <w:rFonts w:cs="Times New Roman"/>
          <w:color w:val="000000" w:themeColor="text1"/>
        </w:rPr>
        <w:t>.</w:t>
      </w:r>
    </w:p>
    <w:p w:rsidR="00834970" w:rsidRPr="00F15D3F" w:rsidRDefault="00834970" w:rsidP="00F15D3F">
      <w:pPr>
        <w:pStyle w:val="BodyText2"/>
        <w:numPr>
          <w:ilvl w:val="0"/>
          <w:numId w:val="4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F15D3F">
        <w:rPr>
          <w:rFonts w:cs="Times New Roman"/>
          <w:color w:val="000000" w:themeColor="text1"/>
        </w:rPr>
        <w:t xml:space="preserve">There were 10,464 establishments operating in </w:t>
      </w:r>
      <w:r w:rsidR="009D489E" w:rsidRPr="00F15D3F">
        <w:rPr>
          <w:rFonts w:cs="Times New Roman"/>
          <w:color w:val="000000" w:themeColor="text1"/>
        </w:rPr>
        <w:t xml:space="preserve">Jerusalem Governorate </w:t>
      </w:r>
      <w:r w:rsidRPr="00F15D3F">
        <w:rPr>
          <w:rFonts w:cs="Times New Roman"/>
          <w:color w:val="000000" w:themeColor="text1"/>
        </w:rPr>
        <w:t>classified by main economic activity</w:t>
      </w:r>
      <w:r w:rsidR="00FB7CB6" w:rsidRPr="00F15D3F">
        <w:rPr>
          <w:rFonts w:cs="Times New Roman"/>
          <w:color w:val="000000" w:themeColor="text1"/>
        </w:rPr>
        <w:t>:</w:t>
      </w:r>
      <w:r w:rsidRPr="00F15D3F">
        <w:rPr>
          <w:rFonts w:cs="Times New Roman"/>
          <w:color w:val="000000" w:themeColor="text1"/>
        </w:rPr>
        <w:t xml:space="preserve"> </w:t>
      </w:r>
      <w:r w:rsidR="00FB7CB6" w:rsidRPr="00F15D3F">
        <w:rPr>
          <w:rFonts w:cs="Times New Roman"/>
          <w:color w:val="000000" w:themeColor="text1"/>
        </w:rPr>
        <w:t>5,461 in w</w:t>
      </w:r>
      <w:r w:rsidRPr="00F15D3F">
        <w:rPr>
          <w:rFonts w:cs="Times New Roman"/>
          <w:color w:val="000000" w:themeColor="text1"/>
        </w:rPr>
        <w:t>holesale and retail trade; repair of motor vehicles and motorcycles</w:t>
      </w:r>
      <w:r w:rsidR="00FB7CB6" w:rsidRPr="00F15D3F">
        <w:rPr>
          <w:rFonts w:cs="Times New Roman"/>
          <w:color w:val="000000" w:themeColor="text1"/>
        </w:rPr>
        <w:t>;</w:t>
      </w:r>
      <w:r w:rsidRPr="00F15D3F">
        <w:rPr>
          <w:rFonts w:cs="Times New Roman"/>
          <w:color w:val="000000" w:themeColor="text1"/>
        </w:rPr>
        <w:t xml:space="preserve"> </w:t>
      </w:r>
      <w:r w:rsidR="00FB7CB6" w:rsidRPr="00F15D3F">
        <w:rPr>
          <w:rFonts w:cs="Times New Roman"/>
          <w:color w:val="000000" w:themeColor="text1"/>
        </w:rPr>
        <w:t>1,111 in</w:t>
      </w:r>
      <w:r w:rsidRPr="00F15D3F">
        <w:rPr>
          <w:rFonts w:cs="Times New Roman"/>
          <w:color w:val="000000" w:themeColor="text1"/>
        </w:rPr>
        <w:t xml:space="preserve"> manufacturing</w:t>
      </w:r>
      <w:r w:rsidR="00FB7CB6" w:rsidRPr="00F15D3F">
        <w:rPr>
          <w:rFonts w:cs="Times New Roman"/>
          <w:color w:val="000000" w:themeColor="text1"/>
        </w:rPr>
        <w:t>;</w:t>
      </w:r>
      <w:r w:rsidRPr="00F15D3F">
        <w:rPr>
          <w:rFonts w:cs="Times New Roman"/>
          <w:color w:val="000000" w:themeColor="text1"/>
        </w:rPr>
        <w:t xml:space="preserve"> and </w:t>
      </w:r>
      <w:r w:rsidR="00FB7CB6" w:rsidRPr="00F15D3F">
        <w:rPr>
          <w:rFonts w:cs="Times New Roman"/>
          <w:color w:val="000000" w:themeColor="text1"/>
        </w:rPr>
        <w:t xml:space="preserve">1,110 in </w:t>
      </w:r>
      <w:r w:rsidRPr="00F15D3F">
        <w:rPr>
          <w:rFonts w:cs="Times New Roman"/>
          <w:color w:val="000000" w:themeColor="text1"/>
        </w:rPr>
        <w:t xml:space="preserve">other service activities. </w:t>
      </w:r>
      <w:r w:rsidR="009F3886" w:rsidRPr="00F15D3F">
        <w:rPr>
          <w:rFonts w:cs="Times New Roman"/>
          <w:color w:val="000000" w:themeColor="text1"/>
        </w:rPr>
        <w:t xml:space="preserve"> </w:t>
      </w:r>
      <w:r w:rsidRPr="00F15D3F">
        <w:rPr>
          <w:rFonts w:cs="Times New Roman"/>
          <w:color w:val="000000" w:themeColor="text1"/>
        </w:rPr>
        <w:t>Mining and quarrying had the smallest number with six establishments.</w:t>
      </w:r>
    </w:p>
    <w:p w:rsidR="00294CED" w:rsidRDefault="00294CED" w:rsidP="00796931">
      <w:pPr>
        <w:tabs>
          <w:tab w:val="num" w:pos="0"/>
          <w:tab w:val="left" w:pos="426"/>
        </w:tabs>
        <w:jc w:val="lowKashida"/>
        <w:rPr>
          <w:rFonts w:cs="Simplified Arabic"/>
          <w:b/>
          <w:bCs/>
          <w:color w:val="FF0000"/>
        </w:rPr>
      </w:pPr>
    </w:p>
    <w:p w:rsidR="009837D4" w:rsidRPr="002631BA" w:rsidRDefault="009837D4" w:rsidP="00796931">
      <w:pPr>
        <w:tabs>
          <w:tab w:val="num" w:pos="0"/>
          <w:tab w:val="left" w:pos="426"/>
        </w:tabs>
        <w:jc w:val="lowKashida"/>
        <w:rPr>
          <w:rFonts w:cs="Simplified Arabic"/>
          <w:b/>
          <w:bCs/>
          <w:color w:val="000000" w:themeColor="text1"/>
        </w:rPr>
      </w:pPr>
      <w:r w:rsidRPr="002631BA">
        <w:rPr>
          <w:rFonts w:cs="Simplified Arabic"/>
          <w:b/>
          <w:bCs/>
          <w:color w:val="000000" w:themeColor="text1"/>
        </w:rPr>
        <w:t xml:space="preserve">National Accounts </w:t>
      </w:r>
    </w:p>
    <w:p w:rsidR="000F163C" w:rsidRPr="00CE2BDB" w:rsidRDefault="000F163C" w:rsidP="00F15D3F">
      <w:pPr>
        <w:pStyle w:val="BodyText2"/>
        <w:numPr>
          <w:ilvl w:val="0"/>
          <w:numId w:val="47"/>
        </w:numPr>
        <w:tabs>
          <w:tab w:val="num" w:pos="284"/>
        </w:tabs>
        <w:bidi w:val="0"/>
        <w:spacing w:before="80"/>
        <w:ind w:left="284" w:right="0" w:hanging="284"/>
        <w:rPr>
          <w:color w:val="000000" w:themeColor="text1"/>
        </w:rPr>
      </w:pPr>
      <w:r w:rsidRPr="00F15D3F">
        <w:rPr>
          <w:rFonts w:cs="Times New Roman"/>
          <w:color w:val="000000" w:themeColor="text1"/>
        </w:rPr>
        <w:t xml:space="preserve">In area J1 of Jerusalem Governorate, the gross value added at current prices was USD 1,074.9 millions for </w:t>
      </w:r>
      <w:r w:rsidRPr="00F15D3F">
        <w:rPr>
          <w:rFonts w:cs="Times New Roman"/>
          <w:color w:val="000000" w:themeColor="text1"/>
          <w:rtl/>
        </w:rPr>
        <w:t>201</w:t>
      </w:r>
      <w:r w:rsidRPr="00F15D3F">
        <w:rPr>
          <w:rFonts w:cs="Times New Roman"/>
          <w:color w:val="000000" w:themeColor="text1"/>
        </w:rPr>
        <w:t>5 compared</w:t>
      </w:r>
      <w:r w:rsidRPr="00CE2BDB">
        <w:rPr>
          <w:color w:val="000000" w:themeColor="text1"/>
        </w:rPr>
        <w:t xml:space="preserve"> with USD </w:t>
      </w:r>
      <w:r w:rsidRPr="00CE2BDB">
        <w:rPr>
          <w:color w:val="000000" w:themeColor="text1"/>
          <w:rtl/>
        </w:rPr>
        <w:t xml:space="preserve"> 1,114.5</w:t>
      </w:r>
      <w:r w:rsidRPr="00CE2BDB">
        <w:rPr>
          <w:color w:val="000000" w:themeColor="text1"/>
        </w:rPr>
        <w:t xml:space="preserve">millions in </w:t>
      </w:r>
      <w:r w:rsidRPr="00CE2BDB">
        <w:rPr>
          <w:color w:val="000000" w:themeColor="text1"/>
          <w:rtl/>
        </w:rPr>
        <w:t>201</w:t>
      </w:r>
      <w:r w:rsidRPr="00CE2BDB">
        <w:rPr>
          <w:color w:val="000000" w:themeColor="text1"/>
        </w:rPr>
        <w:t>4.</w:t>
      </w:r>
    </w:p>
    <w:p w:rsidR="00F15D3F" w:rsidRDefault="00F15D3F" w:rsidP="00796931">
      <w:pPr>
        <w:pStyle w:val="Heading3"/>
        <w:spacing w:before="0"/>
        <w:ind w:right="-5"/>
        <w:jc w:val="center"/>
        <w:rPr>
          <w:rFonts w:ascii="Arial" w:hAnsi="Arial" w:cs="Arial"/>
          <w:color w:val="000000" w:themeColor="text1"/>
          <w:sz w:val="18"/>
          <w:szCs w:val="18"/>
        </w:rPr>
      </w:pPr>
    </w:p>
    <w:p w:rsidR="00DB510C" w:rsidRDefault="000F163C" w:rsidP="00796931">
      <w:pPr>
        <w:pStyle w:val="Heading3"/>
        <w:spacing w:before="0"/>
        <w:ind w:right="-5"/>
        <w:jc w:val="center"/>
        <w:rPr>
          <w:rFonts w:ascii="Arial" w:hAnsi="Arial" w:cs="Arial"/>
          <w:color w:val="000000" w:themeColor="text1"/>
          <w:sz w:val="18"/>
          <w:szCs w:val="18"/>
        </w:rPr>
      </w:pPr>
      <w:r w:rsidRPr="002631BA">
        <w:rPr>
          <w:rFonts w:ascii="Arial" w:hAnsi="Arial" w:cs="Arial"/>
          <w:color w:val="000000" w:themeColor="text1"/>
          <w:sz w:val="18"/>
          <w:szCs w:val="18"/>
        </w:rPr>
        <w:t>Percentage Distribution of Value Added in Jerusalem Governorate Area</w:t>
      </w:r>
    </w:p>
    <w:p w:rsidR="000F163C" w:rsidRPr="002631BA" w:rsidRDefault="000F163C" w:rsidP="00796931">
      <w:pPr>
        <w:pStyle w:val="Heading3"/>
        <w:spacing w:before="0"/>
        <w:ind w:right="-5"/>
        <w:jc w:val="center"/>
        <w:rPr>
          <w:rFonts w:ascii="Arial" w:hAnsi="Arial" w:cs="Arial"/>
          <w:color w:val="000000" w:themeColor="text1"/>
          <w:sz w:val="18"/>
          <w:szCs w:val="18"/>
        </w:rPr>
      </w:pPr>
      <w:r w:rsidRPr="002631BA">
        <w:rPr>
          <w:rFonts w:ascii="Arial" w:hAnsi="Arial" w:cs="Arial"/>
          <w:color w:val="000000" w:themeColor="text1"/>
          <w:sz w:val="18"/>
          <w:szCs w:val="18"/>
        </w:rPr>
        <w:t xml:space="preserve"> (J1) by Economic Activity, 2015</w:t>
      </w:r>
    </w:p>
    <w:p w:rsidR="000F163C" w:rsidRPr="00B35A1A" w:rsidRDefault="000F163C" w:rsidP="00796931">
      <w:pPr>
        <w:tabs>
          <w:tab w:val="left" w:pos="2750"/>
        </w:tabs>
        <w:rPr>
          <w:color w:val="000000" w:themeColor="text1"/>
          <w:sz w:val="2"/>
          <w:szCs w:val="2"/>
        </w:rPr>
      </w:pPr>
      <w:r w:rsidRPr="00B35A1A">
        <w:rPr>
          <w:color w:val="000000" w:themeColor="text1"/>
          <w:sz w:val="10"/>
          <w:szCs w:val="10"/>
        </w:rPr>
        <w:tab/>
      </w:r>
    </w:p>
    <w:p w:rsidR="000F163C" w:rsidRPr="002631BA" w:rsidRDefault="000F163C" w:rsidP="00796931">
      <w:pPr>
        <w:tabs>
          <w:tab w:val="left" w:pos="4252"/>
        </w:tabs>
        <w:jc w:val="center"/>
        <w:rPr>
          <w:b/>
          <w:bCs/>
          <w:color w:val="000000" w:themeColor="text1"/>
          <w:rtl/>
        </w:rPr>
      </w:pPr>
      <w:r w:rsidRPr="0049410B">
        <w:rPr>
          <w:noProof/>
          <w:color w:val="000000" w:themeColor="text1"/>
          <w:bdr w:val="single" w:sz="4" w:space="0" w:color="auto"/>
        </w:rPr>
        <w:drawing>
          <wp:inline distT="0" distB="0" distL="0" distR="0">
            <wp:extent cx="3799267" cy="1848118"/>
            <wp:effectExtent l="0" t="0" r="0" b="0"/>
            <wp:docPr id="3" name="Objec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0F163C" w:rsidRPr="00C50B68" w:rsidRDefault="000F163C" w:rsidP="00796931">
      <w:pPr>
        <w:tabs>
          <w:tab w:val="left" w:pos="284"/>
        </w:tabs>
        <w:jc w:val="both"/>
        <w:rPr>
          <w:rFonts w:cs="Simplified Arabic"/>
          <w:color w:val="000000" w:themeColor="text1"/>
          <w:sz w:val="2"/>
          <w:szCs w:val="2"/>
        </w:rPr>
      </w:pPr>
    </w:p>
    <w:p w:rsidR="000F163C" w:rsidRPr="002631BA" w:rsidRDefault="000F163C" w:rsidP="00C50B68">
      <w:pPr>
        <w:ind w:left="709" w:right="708"/>
        <w:jc w:val="both"/>
        <w:rPr>
          <w:rFonts w:cs="Simplified Arabic"/>
          <w:b/>
          <w:bCs/>
          <w:color w:val="000000" w:themeColor="text1"/>
        </w:rPr>
      </w:pPr>
      <w:r w:rsidRPr="002631BA">
        <w:rPr>
          <w:rFonts w:cs="Simplified Arabic"/>
          <w:color w:val="000000" w:themeColor="text1"/>
          <w:sz w:val="16"/>
          <w:szCs w:val="16"/>
        </w:rPr>
        <w:t>Note: Value added within national accounts includes all value added incurred from all economic sectors including the informal sector.</w:t>
      </w:r>
    </w:p>
    <w:p w:rsidR="002631BA" w:rsidRPr="00C50B68" w:rsidRDefault="002631BA" w:rsidP="00796931">
      <w:pPr>
        <w:tabs>
          <w:tab w:val="num" w:pos="0"/>
        </w:tabs>
        <w:jc w:val="both"/>
        <w:rPr>
          <w:rFonts w:cs="Simplified Arabic"/>
          <w:b/>
          <w:bCs/>
          <w:color w:val="FF0000"/>
        </w:rPr>
      </w:pPr>
    </w:p>
    <w:p w:rsidR="002631BA" w:rsidRPr="00501CD9" w:rsidRDefault="002631BA" w:rsidP="00796931">
      <w:pPr>
        <w:tabs>
          <w:tab w:val="num" w:pos="0"/>
        </w:tabs>
        <w:jc w:val="lowKashida"/>
        <w:rPr>
          <w:rFonts w:cs="Simplified Arabic"/>
          <w:b/>
          <w:bCs/>
          <w:i/>
          <w:iCs/>
          <w:color w:val="000000" w:themeColor="text1"/>
        </w:rPr>
      </w:pPr>
      <w:r w:rsidRPr="00501CD9">
        <w:rPr>
          <w:rFonts w:cs="Simplified Arabic"/>
          <w:b/>
          <w:bCs/>
          <w:color w:val="000000" w:themeColor="text1"/>
        </w:rPr>
        <w:t xml:space="preserve">Consumer Prices </w:t>
      </w:r>
    </w:p>
    <w:p w:rsidR="00501CD9" w:rsidRPr="00501CD9" w:rsidRDefault="00501CD9" w:rsidP="00F15D3F">
      <w:pPr>
        <w:pStyle w:val="BodyText2"/>
        <w:numPr>
          <w:ilvl w:val="0"/>
          <w:numId w:val="47"/>
        </w:numPr>
        <w:tabs>
          <w:tab w:val="num" w:pos="284"/>
        </w:tabs>
        <w:bidi w:val="0"/>
        <w:spacing w:before="80"/>
        <w:ind w:left="284" w:right="0" w:hanging="284"/>
        <w:rPr>
          <w:color w:val="000000" w:themeColor="text1"/>
          <w:sz w:val="16"/>
          <w:szCs w:val="16"/>
        </w:rPr>
      </w:pPr>
      <w:r w:rsidRPr="00501CD9">
        <w:rPr>
          <w:color w:val="000000" w:themeColor="text1"/>
        </w:rPr>
        <w:t xml:space="preserve">The </w:t>
      </w:r>
      <w:r w:rsidRPr="00F15D3F">
        <w:rPr>
          <w:rFonts w:cs="Times New Roman"/>
          <w:color w:val="000000" w:themeColor="text1"/>
        </w:rPr>
        <w:t>consumer</w:t>
      </w:r>
      <w:r w:rsidRPr="00501CD9">
        <w:rPr>
          <w:color w:val="000000" w:themeColor="text1"/>
        </w:rPr>
        <w:t xml:space="preserve"> price index in area J1 of Jerusalem Governorate decrease by 0.96% in 2016 compared with 2015, while it increased by 0.33% in 2015 compared with 2014, and by 3.84% in 2014 compared with 2013.</w:t>
      </w:r>
    </w:p>
    <w:p w:rsidR="004325B0" w:rsidRPr="00C50B68" w:rsidRDefault="004325B0" w:rsidP="00796931">
      <w:pPr>
        <w:tabs>
          <w:tab w:val="num" w:pos="0"/>
        </w:tabs>
        <w:jc w:val="both"/>
        <w:rPr>
          <w:rFonts w:cs="Simplified Arabic"/>
          <w:b/>
          <w:bCs/>
          <w:color w:val="FF0000"/>
        </w:rPr>
      </w:pPr>
    </w:p>
    <w:p w:rsidR="00986DEF" w:rsidRPr="006C7EBF" w:rsidRDefault="00986DEF" w:rsidP="00796931">
      <w:pPr>
        <w:tabs>
          <w:tab w:val="num" w:pos="0"/>
        </w:tabs>
        <w:jc w:val="lowKashida"/>
        <w:rPr>
          <w:rFonts w:cs="Simplified Arabic"/>
          <w:b/>
          <w:bCs/>
          <w:color w:val="000000" w:themeColor="text1"/>
        </w:rPr>
      </w:pPr>
      <w:r w:rsidRPr="006C7EBF">
        <w:rPr>
          <w:rFonts w:cs="Simplified Arabic"/>
          <w:b/>
          <w:bCs/>
          <w:color w:val="000000" w:themeColor="text1"/>
        </w:rPr>
        <w:t xml:space="preserve">Transportation Sector </w:t>
      </w:r>
    </w:p>
    <w:p w:rsidR="00986DEF" w:rsidRPr="00C50B68" w:rsidRDefault="00986DEF" w:rsidP="00796931">
      <w:pPr>
        <w:tabs>
          <w:tab w:val="num" w:pos="0"/>
        </w:tabs>
        <w:jc w:val="lowKashida"/>
        <w:rPr>
          <w:color w:val="000000" w:themeColor="text1"/>
          <w:sz w:val="8"/>
          <w:szCs w:val="8"/>
        </w:rPr>
      </w:pPr>
      <w:r w:rsidRPr="00C50B68">
        <w:rPr>
          <w:rFonts w:cs="Simplified Arabic"/>
          <w:b/>
          <w:bCs/>
          <w:color w:val="000000" w:themeColor="text1"/>
          <w:sz w:val="16"/>
          <w:szCs w:val="16"/>
        </w:rPr>
        <w:t xml:space="preserve"> </w:t>
      </w:r>
    </w:p>
    <w:p w:rsidR="006C7EBF" w:rsidRPr="006C7EBF" w:rsidRDefault="006C7EBF" w:rsidP="00796931">
      <w:pPr>
        <w:pStyle w:val="BodyText2"/>
        <w:bidi w:val="0"/>
        <w:rPr>
          <w:b/>
          <w:bCs/>
          <w:color w:val="000000" w:themeColor="text1"/>
        </w:rPr>
      </w:pPr>
      <w:r w:rsidRPr="006C7EBF">
        <w:rPr>
          <w:b/>
          <w:bCs/>
          <w:color w:val="000000" w:themeColor="text1"/>
        </w:rPr>
        <w:t>1.   Informal Transportation Activities:</w:t>
      </w:r>
    </w:p>
    <w:p w:rsidR="006C7EBF" w:rsidRPr="00F15D3F" w:rsidRDefault="006C7EBF" w:rsidP="00F15D3F">
      <w:pPr>
        <w:pStyle w:val="BodyText2"/>
        <w:numPr>
          <w:ilvl w:val="0"/>
          <w:numId w:val="4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F15D3F">
        <w:rPr>
          <w:rFonts w:cs="Times New Roman"/>
          <w:color w:val="000000" w:themeColor="text1"/>
        </w:rPr>
        <w:t xml:space="preserve">There were </w:t>
      </w:r>
      <w:r w:rsidRPr="00F15D3F">
        <w:rPr>
          <w:rFonts w:cs="Times New Roman" w:hint="cs"/>
          <w:color w:val="000000" w:themeColor="text1"/>
          <w:rtl/>
        </w:rPr>
        <w:t>98</w:t>
      </w:r>
      <w:r w:rsidRPr="00F15D3F">
        <w:rPr>
          <w:rFonts w:cs="Times New Roman"/>
          <w:color w:val="000000" w:themeColor="text1"/>
        </w:rPr>
        <w:t xml:space="preserve"> vehicles engaged in this sector in Jerusalem Governorate with </w:t>
      </w:r>
      <w:r w:rsidRPr="00F15D3F">
        <w:rPr>
          <w:rFonts w:cs="Times New Roman" w:hint="cs"/>
          <w:color w:val="000000" w:themeColor="text1"/>
          <w:rtl/>
        </w:rPr>
        <w:t>100</w:t>
      </w:r>
      <w:r w:rsidRPr="00F15D3F">
        <w:rPr>
          <w:rFonts w:cs="Times New Roman"/>
          <w:color w:val="000000" w:themeColor="text1"/>
        </w:rPr>
        <w:t xml:space="preserve"> employees in 2015.</w:t>
      </w:r>
    </w:p>
    <w:p w:rsidR="006C7EBF" w:rsidRPr="00F15D3F" w:rsidRDefault="006C7EBF" w:rsidP="00000F4F">
      <w:pPr>
        <w:pStyle w:val="BodyText2"/>
        <w:numPr>
          <w:ilvl w:val="0"/>
          <w:numId w:val="4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F15D3F">
        <w:rPr>
          <w:rFonts w:cs="Times New Roman"/>
          <w:color w:val="000000" w:themeColor="text1"/>
        </w:rPr>
        <w:t xml:space="preserve">The output value of </w:t>
      </w:r>
      <w:r w:rsidR="00000F4F" w:rsidRPr="006C7EBF">
        <w:rPr>
          <w:rFonts w:asciiTheme="majorBidi" w:hAnsiTheme="majorBidi" w:cstheme="majorBidi"/>
          <w:color w:val="000000" w:themeColor="text1"/>
        </w:rPr>
        <w:t>th</w:t>
      </w:r>
      <w:r w:rsidR="00000F4F">
        <w:rPr>
          <w:rFonts w:asciiTheme="majorBidi" w:hAnsiTheme="majorBidi" w:cstheme="majorBidi"/>
          <w:color w:val="000000" w:themeColor="text1"/>
        </w:rPr>
        <w:t>o</w:t>
      </w:r>
      <w:r w:rsidR="00000F4F" w:rsidRPr="006C7EBF">
        <w:rPr>
          <w:rFonts w:asciiTheme="majorBidi" w:hAnsiTheme="majorBidi" w:cstheme="majorBidi"/>
          <w:color w:val="000000" w:themeColor="text1"/>
        </w:rPr>
        <w:t>se</w:t>
      </w:r>
      <w:r w:rsidRPr="00F15D3F">
        <w:rPr>
          <w:rFonts w:cs="Times New Roman"/>
          <w:color w:val="000000" w:themeColor="text1"/>
        </w:rPr>
        <w:t xml:space="preserve"> vehicles was USD 4.9 million in 2015.</w:t>
      </w:r>
    </w:p>
    <w:p w:rsidR="006C7EBF" w:rsidRPr="006C7EBF" w:rsidRDefault="006C7EBF" w:rsidP="00F15D3F">
      <w:pPr>
        <w:pStyle w:val="BodyText2"/>
        <w:numPr>
          <w:ilvl w:val="0"/>
          <w:numId w:val="47"/>
        </w:numPr>
        <w:tabs>
          <w:tab w:val="num" w:pos="284"/>
        </w:tabs>
        <w:bidi w:val="0"/>
        <w:spacing w:before="80"/>
        <w:ind w:left="284" w:right="0" w:hanging="284"/>
        <w:rPr>
          <w:rFonts w:asciiTheme="majorBidi" w:hAnsiTheme="majorBidi" w:cstheme="majorBidi"/>
          <w:color w:val="000000" w:themeColor="text1"/>
        </w:rPr>
      </w:pPr>
      <w:r w:rsidRPr="00F15D3F">
        <w:rPr>
          <w:rFonts w:cs="Times New Roman"/>
          <w:color w:val="000000" w:themeColor="text1"/>
        </w:rPr>
        <w:t>The value added realized by</w:t>
      </w:r>
      <w:r w:rsidRPr="006C7EBF">
        <w:rPr>
          <w:rFonts w:asciiTheme="majorBidi" w:hAnsiTheme="majorBidi" w:cstheme="majorBidi"/>
          <w:color w:val="000000" w:themeColor="text1"/>
        </w:rPr>
        <w:t xml:space="preserve"> the informal transportation sector was USD 2.8 million</w:t>
      </w:r>
      <w:r w:rsidR="007C0026">
        <w:rPr>
          <w:rFonts w:asciiTheme="majorBidi" w:hAnsiTheme="majorBidi" w:cstheme="majorBidi"/>
          <w:color w:val="000000" w:themeColor="text1"/>
        </w:rPr>
        <w:t xml:space="preserve">     </w:t>
      </w:r>
      <w:r w:rsidRPr="006C7EBF">
        <w:rPr>
          <w:rFonts w:asciiTheme="majorBidi" w:hAnsiTheme="majorBidi" w:cstheme="majorBidi"/>
          <w:color w:val="000000" w:themeColor="text1"/>
        </w:rPr>
        <w:t xml:space="preserve"> in 2015.</w:t>
      </w:r>
    </w:p>
    <w:p w:rsidR="00C50B68" w:rsidRDefault="00C50B68" w:rsidP="00796931">
      <w:pPr>
        <w:tabs>
          <w:tab w:val="left" w:pos="284"/>
        </w:tabs>
        <w:jc w:val="lowKashida"/>
        <w:rPr>
          <w:rFonts w:asciiTheme="majorBidi" w:hAnsiTheme="majorBidi" w:cstheme="majorBidi"/>
          <w:b/>
          <w:bCs/>
          <w:color w:val="000000" w:themeColor="text1"/>
        </w:rPr>
      </w:pPr>
    </w:p>
    <w:p w:rsidR="00C50B68" w:rsidRDefault="00C50B68" w:rsidP="00796931">
      <w:pPr>
        <w:tabs>
          <w:tab w:val="left" w:pos="284"/>
        </w:tabs>
        <w:jc w:val="lowKashida"/>
        <w:rPr>
          <w:rFonts w:asciiTheme="majorBidi" w:hAnsiTheme="majorBidi" w:cstheme="majorBidi"/>
          <w:b/>
          <w:bCs/>
          <w:color w:val="000000" w:themeColor="text1"/>
        </w:rPr>
      </w:pPr>
    </w:p>
    <w:p w:rsidR="006C7EBF" w:rsidRPr="006C7EBF" w:rsidRDefault="006C7EBF" w:rsidP="00796931">
      <w:pPr>
        <w:tabs>
          <w:tab w:val="left" w:pos="284"/>
        </w:tabs>
        <w:jc w:val="lowKashida"/>
        <w:rPr>
          <w:rFonts w:asciiTheme="majorBidi" w:hAnsiTheme="majorBidi" w:cstheme="majorBidi"/>
          <w:b/>
          <w:bCs/>
          <w:color w:val="000000" w:themeColor="text1"/>
        </w:rPr>
      </w:pPr>
      <w:r w:rsidRPr="006C7EBF">
        <w:rPr>
          <w:rFonts w:asciiTheme="majorBidi" w:hAnsiTheme="majorBidi" w:cstheme="majorBidi"/>
          <w:b/>
          <w:bCs/>
          <w:color w:val="000000" w:themeColor="text1"/>
        </w:rPr>
        <w:lastRenderedPageBreak/>
        <w:t>2.   Transportation and Storage:</w:t>
      </w:r>
    </w:p>
    <w:p w:rsidR="006C7EBF" w:rsidRPr="00F15D3F" w:rsidRDefault="006C7EBF" w:rsidP="00F15D3F">
      <w:pPr>
        <w:pStyle w:val="BodyText2"/>
        <w:numPr>
          <w:ilvl w:val="0"/>
          <w:numId w:val="4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F15D3F">
        <w:rPr>
          <w:rFonts w:cs="Times New Roman"/>
          <w:color w:val="000000" w:themeColor="text1"/>
        </w:rPr>
        <w:t>There were 787 employees</w:t>
      </w:r>
      <w:r w:rsidRPr="00F15D3F">
        <w:rPr>
          <w:rFonts w:cs="Times New Roman"/>
          <w:color w:val="000000" w:themeColor="text1"/>
          <w:rtl/>
        </w:rPr>
        <w:t xml:space="preserve"> </w:t>
      </w:r>
      <w:r w:rsidRPr="00F15D3F">
        <w:rPr>
          <w:rFonts w:cs="Times New Roman"/>
          <w:color w:val="000000" w:themeColor="text1"/>
        </w:rPr>
        <w:t>in this sector in Jerusalem Governorate in 2015.</w:t>
      </w:r>
    </w:p>
    <w:p w:rsidR="006C7EBF" w:rsidRPr="00F15D3F" w:rsidRDefault="006C7EBF" w:rsidP="00F15D3F">
      <w:pPr>
        <w:pStyle w:val="BodyText2"/>
        <w:numPr>
          <w:ilvl w:val="0"/>
          <w:numId w:val="4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F15D3F">
        <w:rPr>
          <w:rFonts w:cs="Times New Roman"/>
          <w:color w:val="000000" w:themeColor="text1"/>
        </w:rPr>
        <w:t>The output value in Jerusalem Governorate was USD 24.5 million in 2015.</w:t>
      </w:r>
    </w:p>
    <w:p w:rsidR="006C7EBF" w:rsidRDefault="006C7EBF" w:rsidP="00F15D3F">
      <w:pPr>
        <w:pStyle w:val="BodyText2"/>
        <w:numPr>
          <w:ilvl w:val="0"/>
          <w:numId w:val="4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F15D3F">
        <w:rPr>
          <w:rFonts w:cs="Times New Roman"/>
          <w:color w:val="000000" w:themeColor="text1"/>
        </w:rPr>
        <w:t xml:space="preserve">The value added realized by the formal transportation sector was USD 8.3 million </w:t>
      </w:r>
      <w:r w:rsidR="00C50B68">
        <w:rPr>
          <w:rFonts w:cs="Times New Roman"/>
          <w:color w:val="000000" w:themeColor="text1"/>
        </w:rPr>
        <w:t xml:space="preserve">        </w:t>
      </w:r>
      <w:r w:rsidRPr="00F15D3F">
        <w:rPr>
          <w:rFonts w:cs="Times New Roman"/>
          <w:color w:val="000000" w:themeColor="text1"/>
        </w:rPr>
        <w:t>in 2015.</w:t>
      </w:r>
    </w:p>
    <w:p w:rsidR="00C50B68" w:rsidRPr="00F15D3F" w:rsidRDefault="00C50B68" w:rsidP="00C50B68">
      <w:pPr>
        <w:pStyle w:val="BodyText2"/>
        <w:bidi w:val="0"/>
        <w:rPr>
          <w:rFonts w:cs="Times New Roman"/>
          <w:color w:val="000000" w:themeColor="text1"/>
        </w:rPr>
      </w:pPr>
    </w:p>
    <w:p w:rsidR="006C7EBF" w:rsidRPr="006C7EBF" w:rsidRDefault="006C7EBF" w:rsidP="00796931">
      <w:pPr>
        <w:tabs>
          <w:tab w:val="left" w:pos="284"/>
        </w:tabs>
        <w:jc w:val="lowKashida"/>
        <w:rPr>
          <w:rFonts w:asciiTheme="majorBidi" w:hAnsiTheme="majorBidi" w:cstheme="majorBidi"/>
          <w:b/>
          <w:bCs/>
          <w:color w:val="000000" w:themeColor="text1"/>
        </w:rPr>
      </w:pPr>
      <w:r w:rsidRPr="006C7EBF">
        <w:rPr>
          <w:rFonts w:asciiTheme="majorBidi" w:hAnsiTheme="majorBidi" w:cstheme="majorBidi"/>
          <w:b/>
          <w:bCs/>
          <w:color w:val="000000" w:themeColor="text1"/>
        </w:rPr>
        <w:t>3.   Information and Communication:</w:t>
      </w:r>
    </w:p>
    <w:p w:rsidR="006C7EBF" w:rsidRPr="00F15D3F" w:rsidRDefault="008F78C4" w:rsidP="00F15D3F">
      <w:pPr>
        <w:pStyle w:val="BodyText2"/>
        <w:numPr>
          <w:ilvl w:val="0"/>
          <w:numId w:val="4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F15D3F">
        <w:rPr>
          <w:rFonts w:cs="Times New Roman"/>
          <w:color w:val="000000" w:themeColor="text1"/>
        </w:rPr>
        <w:t>In 2015, t</w:t>
      </w:r>
      <w:r w:rsidR="006C7EBF" w:rsidRPr="00F15D3F">
        <w:rPr>
          <w:rFonts w:cs="Times New Roman"/>
          <w:color w:val="000000" w:themeColor="text1"/>
        </w:rPr>
        <w:t xml:space="preserve">here were 82 employees in this sector in Jerusalem Governorate </w:t>
      </w:r>
    </w:p>
    <w:p w:rsidR="006C7EBF" w:rsidRPr="00F15D3F" w:rsidRDefault="008F78C4" w:rsidP="00F15D3F">
      <w:pPr>
        <w:pStyle w:val="BodyText2"/>
        <w:numPr>
          <w:ilvl w:val="0"/>
          <w:numId w:val="4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F15D3F">
        <w:rPr>
          <w:rFonts w:cs="Times New Roman"/>
          <w:color w:val="000000" w:themeColor="text1"/>
        </w:rPr>
        <w:t>In 2015, t</w:t>
      </w:r>
      <w:r w:rsidR="006C7EBF" w:rsidRPr="00F15D3F">
        <w:rPr>
          <w:rFonts w:cs="Times New Roman"/>
          <w:color w:val="000000" w:themeColor="text1"/>
        </w:rPr>
        <w:t xml:space="preserve">he output value in Jerusalem Governorate was USD </w:t>
      </w:r>
      <w:r w:rsidR="006C7EBF" w:rsidRPr="00F15D3F">
        <w:rPr>
          <w:rFonts w:cs="Times New Roman"/>
          <w:color w:val="000000" w:themeColor="text1"/>
          <w:rtl/>
        </w:rPr>
        <w:t>1.</w:t>
      </w:r>
      <w:r w:rsidR="006C7EBF" w:rsidRPr="00F15D3F">
        <w:rPr>
          <w:rFonts w:cs="Times New Roman"/>
          <w:color w:val="000000" w:themeColor="text1"/>
        </w:rPr>
        <w:t>6 million.</w:t>
      </w:r>
    </w:p>
    <w:p w:rsidR="006C7EBF" w:rsidRPr="00F15D3F" w:rsidRDefault="008F78C4" w:rsidP="00F15D3F">
      <w:pPr>
        <w:pStyle w:val="BodyText2"/>
        <w:numPr>
          <w:ilvl w:val="0"/>
          <w:numId w:val="4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F15D3F">
        <w:rPr>
          <w:rFonts w:cs="Times New Roman"/>
          <w:color w:val="000000" w:themeColor="text1"/>
        </w:rPr>
        <w:t>In 2015, t</w:t>
      </w:r>
      <w:r w:rsidR="006C7EBF" w:rsidRPr="00F15D3F">
        <w:rPr>
          <w:rFonts w:cs="Times New Roman"/>
          <w:color w:val="000000" w:themeColor="text1"/>
        </w:rPr>
        <w:t>he value added realized by the information and communication activities was USD 749.4 thousand.</w:t>
      </w:r>
    </w:p>
    <w:p w:rsidR="00781036" w:rsidRDefault="00781036" w:rsidP="00796931">
      <w:pPr>
        <w:pStyle w:val="BodyText2"/>
        <w:bidi w:val="0"/>
        <w:ind w:left="284"/>
        <w:rPr>
          <w:rFonts w:asciiTheme="majorBidi" w:hAnsiTheme="majorBidi" w:cstheme="majorBidi"/>
          <w:color w:val="000000" w:themeColor="text1"/>
        </w:rPr>
      </w:pPr>
    </w:p>
    <w:p w:rsidR="00C50B68" w:rsidRDefault="006C7EBF" w:rsidP="00796931">
      <w:pPr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6C7EBF">
        <w:rPr>
          <w:rFonts w:ascii="Arial" w:hAnsi="Arial" w:cs="Arial"/>
          <w:b/>
          <w:bCs/>
          <w:color w:val="000000" w:themeColor="text1"/>
          <w:sz w:val="18"/>
          <w:szCs w:val="18"/>
        </w:rPr>
        <w:t>Main Economic Indicators for Information and Communication</w:t>
      </w:r>
      <w:r w:rsidRPr="006C7EBF">
        <w:rPr>
          <w:rFonts w:ascii="Arial" w:hAnsi="Arial" w:cs="Arial" w:hint="cs"/>
          <w:b/>
          <w:bCs/>
          <w:color w:val="000000" w:themeColor="text1"/>
          <w:sz w:val="18"/>
          <w:szCs w:val="18"/>
          <w:rtl/>
        </w:rPr>
        <w:t xml:space="preserve"> </w:t>
      </w:r>
      <w:r w:rsidRPr="006C7EBF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Activities in </w:t>
      </w:r>
    </w:p>
    <w:p w:rsidR="006C7EBF" w:rsidRPr="006C7EBF" w:rsidRDefault="006C7EBF" w:rsidP="00796931">
      <w:pPr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6C7EBF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Jerusalem Governorate, </w:t>
      </w:r>
      <w:r w:rsidR="00E85415">
        <w:rPr>
          <w:rFonts w:ascii="Arial" w:hAnsi="Arial" w:cs="Arial"/>
          <w:b/>
          <w:bCs/>
          <w:color w:val="000000" w:themeColor="text1"/>
          <w:sz w:val="18"/>
          <w:szCs w:val="18"/>
        </w:rPr>
        <w:t>2015</w:t>
      </w:r>
    </w:p>
    <w:p w:rsidR="006C7EBF" w:rsidRPr="00FF7108" w:rsidRDefault="006C7EBF" w:rsidP="00796931">
      <w:pPr>
        <w:rPr>
          <w:rFonts w:ascii="Arial" w:hAnsi="Arial" w:cs="Arial"/>
          <w:color w:val="000000" w:themeColor="text1"/>
          <w:sz w:val="16"/>
          <w:szCs w:val="16"/>
          <w:rtl/>
        </w:rPr>
      </w:pPr>
      <w:r w:rsidRPr="00FF7108">
        <w:rPr>
          <w:rFonts w:cs="Simplified Arabic" w:hint="cs"/>
          <w:color w:val="000000" w:themeColor="text1"/>
          <w:sz w:val="16"/>
          <w:szCs w:val="16"/>
          <w:rtl/>
        </w:rPr>
        <w:t xml:space="preserve"> </w:t>
      </w:r>
      <w:r w:rsidR="00C50B68">
        <w:rPr>
          <w:rFonts w:cs="Simplified Arabic" w:hint="cs"/>
          <w:color w:val="000000" w:themeColor="text1"/>
          <w:sz w:val="16"/>
          <w:szCs w:val="16"/>
          <w:rtl/>
        </w:rPr>
        <w:t xml:space="preserve">     </w:t>
      </w:r>
      <w:r w:rsidRPr="00FF7108">
        <w:rPr>
          <w:rFonts w:cs="Simplified Arabic" w:hint="cs"/>
          <w:color w:val="000000" w:themeColor="text1"/>
          <w:sz w:val="16"/>
          <w:szCs w:val="16"/>
          <w:rtl/>
        </w:rPr>
        <w:t xml:space="preserve">  </w:t>
      </w:r>
      <w:r w:rsidRPr="00FF7108">
        <w:rPr>
          <w:rFonts w:ascii="Arial" w:hAnsi="Arial" w:cs="Simplified Arabic"/>
          <w:color w:val="000000" w:themeColor="text1"/>
          <w:sz w:val="16"/>
          <w:szCs w:val="16"/>
        </w:rPr>
        <w:t>(Value in 1000 USD)</w:t>
      </w:r>
    </w:p>
    <w:p w:rsidR="006C7EBF" w:rsidRPr="006C7EBF" w:rsidRDefault="00514840" w:rsidP="00796931">
      <w:pPr>
        <w:jc w:val="center"/>
        <w:rPr>
          <w:rFonts w:ascii="Arial" w:hAnsi="Arial" w:cs="Arial"/>
          <w:b/>
          <w:bCs/>
          <w:color w:val="000000" w:themeColor="text1"/>
        </w:rPr>
      </w:pPr>
      <w:r w:rsidRPr="00514840">
        <w:rPr>
          <w:rFonts w:cs="Simplified Arabic"/>
          <w:noProof/>
          <w:color w:val="000000" w:themeColor="text1"/>
          <w:sz w:val="16"/>
          <w:szCs w:val="16"/>
        </w:rPr>
        <w:pict>
          <v:rect id="Rectangle 5" o:spid="_x0000_s1038" style="position:absolute;left:0;text-align:left;margin-left:297.55pt;margin-top:164.4pt;width:49.2pt;height:17.65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" filled="f" stroked="f">
            <v:textbox>
              <w:txbxContent>
                <w:p w:rsidR="00653020" w:rsidRPr="00DD0B50" w:rsidRDefault="00653020" w:rsidP="006C7EBF">
                  <w:pPr>
                    <w:rPr>
                      <w:rFonts w:ascii="Arial" w:hAnsi="Arial" w:cs="Arial"/>
                      <w:sz w:val="15"/>
                      <w:szCs w:val="15"/>
                    </w:rPr>
                  </w:pPr>
                </w:p>
              </w:txbxContent>
            </v:textbox>
          </v:rect>
        </w:pict>
      </w:r>
      <w:r w:rsidR="00E85415" w:rsidRPr="00E85415">
        <w:rPr>
          <w:rFonts w:ascii="Arial" w:hAnsi="Arial" w:cs="Arial"/>
          <w:b/>
          <w:bCs/>
          <w:noProof/>
          <w:color w:val="000000" w:themeColor="text1"/>
          <w:bdr w:val="single" w:sz="4" w:space="0" w:color="auto"/>
        </w:rPr>
        <w:drawing>
          <wp:inline distT="0" distB="0" distL="0" distR="0">
            <wp:extent cx="4140558" cy="1880316"/>
            <wp:effectExtent l="0" t="0" r="0" b="0"/>
            <wp:docPr id="7" name="Objec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986DEF" w:rsidRPr="000562F6" w:rsidRDefault="00986DEF" w:rsidP="00796931">
      <w:pPr>
        <w:pStyle w:val="BodyText2"/>
        <w:tabs>
          <w:tab w:val="left" w:pos="284"/>
        </w:tabs>
        <w:bidi w:val="0"/>
        <w:jc w:val="both"/>
        <w:rPr>
          <w:color w:val="FF0000"/>
        </w:rPr>
      </w:pPr>
    </w:p>
    <w:p w:rsidR="00986DEF" w:rsidRPr="00543011" w:rsidRDefault="00986DEF" w:rsidP="00796931">
      <w:pPr>
        <w:pStyle w:val="BodyText2"/>
        <w:tabs>
          <w:tab w:val="left" w:pos="284"/>
        </w:tabs>
        <w:bidi w:val="0"/>
        <w:rPr>
          <w:b/>
          <w:bCs/>
          <w:color w:val="000000" w:themeColor="text1"/>
        </w:rPr>
      </w:pPr>
      <w:r w:rsidRPr="00543011">
        <w:rPr>
          <w:b/>
          <w:bCs/>
          <w:color w:val="000000" w:themeColor="text1"/>
        </w:rPr>
        <w:t>Construction Sector</w:t>
      </w:r>
    </w:p>
    <w:p w:rsidR="00217314" w:rsidRPr="00F15D3F" w:rsidRDefault="00217314" w:rsidP="00F15D3F">
      <w:pPr>
        <w:pStyle w:val="BodyText2"/>
        <w:numPr>
          <w:ilvl w:val="0"/>
          <w:numId w:val="4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F15D3F">
        <w:rPr>
          <w:rFonts w:cs="Times New Roman"/>
          <w:color w:val="000000" w:themeColor="text1"/>
        </w:rPr>
        <w:t xml:space="preserve">In 2016, </w:t>
      </w:r>
      <w:r w:rsidRPr="00F15D3F">
        <w:rPr>
          <w:rFonts w:cs="Times New Roman" w:hint="cs"/>
          <w:color w:val="000000" w:themeColor="text1"/>
          <w:rtl/>
        </w:rPr>
        <w:t>116</w:t>
      </w:r>
      <w:r w:rsidRPr="00F15D3F">
        <w:rPr>
          <w:rFonts w:cs="Times New Roman"/>
          <w:color w:val="000000" w:themeColor="text1"/>
        </w:rPr>
        <w:t xml:space="preserve"> building licenses were issued in Jerusalem Governorate for residential buildings in area J2 with an area of </w:t>
      </w:r>
      <w:r w:rsidRPr="00F15D3F">
        <w:rPr>
          <w:rFonts w:cs="Times New Roman" w:hint="cs"/>
          <w:color w:val="000000" w:themeColor="text1"/>
          <w:rtl/>
        </w:rPr>
        <w:t>71.9</w:t>
      </w:r>
      <w:r w:rsidRPr="00F15D3F">
        <w:rPr>
          <w:rFonts w:cs="Times New Roman"/>
          <w:color w:val="000000" w:themeColor="text1"/>
        </w:rPr>
        <w:t xml:space="preserve"> thousand m2.</w:t>
      </w:r>
    </w:p>
    <w:p w:rsidR="00217314" w:rsidRPr="00F15D3F" w:rsidRDefault="00217314" w:rsidP="00F15D3F">
      <w:pPr>
        <w:pStyle w:val="BodyText2"/>
        <w:numPr>
          <w:ilvl w:val="0"/>
          <w:numId w:val="4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F15D3F">
        <w:rPr>
          <w:rFonts w:cs="Times New Roman"/>
          <w:color w:val="000000" w:themeColor="text1"/>
        </w:rPr>
        <w:t>There were 13</w:t>
      </w:r>
      <w:r w:rsidRPr="00F15D3F">
        <w:rPr>
          <w:rFonts w:cs="Times New Roman"/>
          <w:color w:val="000000" w:themeColor="text1"/>
          <w:rtl/>
        </w:rPr>
        <w:t xml:space="preserve"> </w:t>
      </w:r>
      <w:r w:rsidRPr="00F15D3F">
        <w:rPr>
          <w:rFonts w:cs="Times New Roman"/>
          <w:color w:val="000000" w:themeColor="text1"/>
        </w:rPr>
        <w:t xml:space="preserve"> licenses issued for non-residential purposes in Jerusalem Governorate area J2 with an area of 11.1 thousand m2.</w:t>
      </w:r>
    </w:p>
    <w:p w:rsidR="00217314" w:rsidRPr="00F15D3F" w:rsidRDefault="00217314" w:rsidP="00F15D3F">
      <w:pPr>
        <w:pStyle w:val="BodyText2"/>
        <w:numPr>
          <w:ilvl w:val="0"/>
          <w:numId w:val="4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F15D3F">
        <w:rPr>
          <w:rFonts w:cs="Times New Roman"/>
          <w:color w:val="000000" w:themeColor="text1"/>
        </w:rPr>
        <w:t xml:space="preserve">There were </w:t>
      </w:r>
      <w:r w:rsidRPr="00F15D3F">
        <w:rPr>
          <w:rFonts w:cs="Times New Roman" w:hint="cs"/>
          <w:color w:val="000000" w:themeColor="text1"/>
          <w:rtl/>
        </w:rPr>
        <w:t>138</w:t>
      </w:r>
      <w:r w:rsidRPr="00F15D3F">
        <w:rPr>
          <w:rFonts w:cs="Times New Roman"/>
          <w:color w:val="000000" w:themeColor="text1"/>
        </w:rPr>
        <w:t xml:space="preserve"> employees in this sector in Jerusalem Governorate in 2015.</w:t>
      </w:r>
    </w:p>
    <w:p w:rsidR="00217314" w:rsidRPr="00F15D3F" w:rsidRDefault="00217314" w:rsidP="00F15D3F">
      <w:pPr>
        <w:pStyle w:val="BodyText2"/>
        <w:numPr>
          <w:ilvl w:val="0"/>
          <w:numId w:val="4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F15D3F">
        <w:rPr>
          <w:rFonts w:cs="Times New Roman"/>
          <w:color w:val="000000" w:themeColor="text1"/>
        </w:rPr>
        <w:t xml:space="preserve">The output value in Jerusalem Governorate was USD </w:t>
      </w:r>
      <w:r w:rsidRPr="00F15D3F">
        <w:rPr>
          <w:rFonts w:cs="Times New Roman" w:hint="cs"/>
          <w:color w:val="000000" w:themeColor="text1"/>
          <w:rtl/>
        </w:rPr>
        <w:t>14.6</w:t>
      </w:r>
      <w:r w:rsidRPr="00F15D3F">
        <w:rPr>
          <w:rFonts w:cs="Times New Roman"/>
          <w:color w:val="000000" w:themeColor="text1"/>
        </w:rPr>
        <w:t xml:space="preserve"> million in 2015.</w:t>
      </w:r>
    </w:p>
    <w:p w:rsidR="00217314" w:rsidRPr="00543011" w:rsidRDefault="00217314" w:rsidP="00F15D3F">
      <w:pPr>
        <w:pStyle w:val="BodyText2"/>
        <w:numPr>
          <w:ilvl w:val="0"/>
          <w:numId w:val="47"/>
        </w:numPr>
        <w:tabs>
          <w:tab w:val="num" w:pos="284"/>
        </w:tabs>
        <w:bidi w:val="0"/>
        <w:spacing w:before="80"/>
        <w:ind w:left="284" w:right="0" w:hanging="284"/>
        <w:rPr>
          <w:rFonts w:asciiTheme="majorBidi" w:hAnsiTheme="majorBidi" w:cstheme="majorBidi"/>
          <w:color w:val="000000" w:themeColor="text1"/>
        </w:rPr>
      </w:pPr>
      <w:r w:rsidRPr="00F15D3F">
        <w:rPr>
          <w:rFonts w:cs="Times New Roman"/>
          <w:color w:val="000000" w:themeColor="text1"/>
        </w:rPr>
        <w:t>The value added realized by</w:t>
      </w:r>
      <w:r w:rsidRPr="00543011">
        <w:rPr>
          <w:rFonts w:asciiTheme="majorBidi" w:hAnsiTheme="majorBidi" w:cstheme="majorBidi"/>
          <w:color w:val="000000" w:themeColor="text1"/>
        </w:rPr>
        <w:t xml:space="preserve"> the construction sector was USD </w:t>
      </w:r>
      <w:r w:rsidRPr="00543011">
        <w:rPr>
          <w:rFonts w:asciiTheme="majorBidi" w:hAnsiTheme="majorBidi" w:cstheme="majorBidi" w:hint="cs"/>
          <w:color w:val="000000" w:themeColor="text1"/>
          <w:rtl/>
        </w:rPr>
        <w:t>11.2</w:t>
      </w:r>
      <w:r w:rsidRPr="00543011">
        <w:rPr>
          <w:rFonts w:asciiTheme="majorBidi" w:hAnsiTheme="majorBidi" w:cstheme="majorBidi"/>
          <w:color w:val="000000" w:themeColor="text1"/>
        </w:rPr>
        <w:t xml:space="preserve"> million in 2015.</w:t>
      </w:r>
    </w:p>
    <w:p w:rsidR="00217314" w:rsidRPr="00543011" w:rsidRDefault="00217314" w:rsidP="00796931">
      <w:pPr>
        <w:tabs>
          <w:tab w:val="num" w:pos="0"/>
          <w:tab w:val="left" w:pos="284"/>
        </w:tabs>
        <w:jc w:val="lowKashida"/>
        <w:rPr>
          <w:rFonts w:asciiTheme="majorBidi" w:hAnsiTheme="majorBidi" w:cstheme="majorBidi"/>
          <w:b/>
          <w:bCs/>
          <w:color w:val="000000" w:themeColor="text1"/>
        </w:rPr>
      </w:pPr>
    </w:p>
    <w:p w:rsidR="00217314" w:rsidRPr="00543011" w:rsidRDefault="00217314" w:rsidP="00796931">
      <w:pPr>
        <w:tabs>
          <w:tab w:val="num" w:pos="0"/>
          <w:tab w:val="left" w:pos="284"/>
        </w:tabs>
        <w:jc w:val="lowKashida"/>
        <w:rPr>
          <w:rFonts w:asciiTheme="majorBidi" w:hAnsiTheme="majorBidi" w:cstheme="majorBidi"/>
          <w:b/>
          <w:bCs/>
          <w:color w:val="000000" w:themeColor="text1"/>
        </w:rPr>
      </w:pPr>
      <w:r w:rsidRPr="00543011">
        <w:rPr>
          <w:rFonts w:asciiTheme="majorBidi" w:hAnsiTheme="majorBidi" w:cstheme="majorBidi"/>
          <w:b/>
          <w:bCs/>
          <w:color w:val="000000" w:themeColor="text1"/>
        </w:rPr>
        <w:t xml:space="preserve">Industrial Sector </w:t>
      </w:r>
    </w:p>
    <w:p w:rsidR="00217314" w:rsidRPr="00F15D3F" w:rsidRDefault="00217314" w:rsidP="00F15D3F">
      <w:pPr>
        <w:pStyle w:val="BodyText2"/>
        <w:numPr>
          <w:ilvl w:val="0"/>
          <w:numId w:val="4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F15D3F">
        <w:rPr>
          <w:rFonts w:cs="Times New Roman"/>
          <w:color w:val="000000" w:themeColor="text1"/>
        </w:rPr>
        <w:t>There were 5,051employees in 2015.</w:t>
      </w:r>
    </w:p>
    <w:p w:rsidR="00217314" w:rsidRPr="00F15D3F" w:rsidRDefault="00217314" w:rsidP="00000F4F">
      <w:pPr>
        <w:pStyle w:val="BodyText2"/>
        <w:numPr>
          <w:ilvl w:val="0"/>
          <w:numId w:val="4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F15D3F">
        <w:rPr>
          <w:rFonts w:cs="Times New Roman"/>
          <w:color w:val="000000" w:themeColor="text1"/>
        </w:rPr>
        <w:t xml:space="preserve">The output value of </w:t>
      </w:r>
      <w:r w:rsidR="00000F4F" w:rsidRPr="00543011">
        <w:rPr>
          <w:rFonts w:asciiTheme="majorBidi" w:hAnsiTheme="majorBidi" w:cstheme="majorBidi"/>
          <w:color w:val="000000" w:themeColor="text1"/>
        </w:rPr>
        <w:t>th</w:t>
      </w:r>
      <w:r w:rsidR="00000F4F">
        <w:rPr>
          <w:rFonts w:asciiTheme="majorBidi" w:hAnsiTheme="majorBidi" w:cstheme="majorBidi"/>
          <w:color w:val="000000" w:themeColor="text1"/>
        </w:rPr>
        <w:t>o</w:t>
      </w:r>
      <w:r w:rsidR="00000F4F" w:rsidRPr="00543011">
        <w:rPr>
          <w:rFonts w:asciiTheme="majorBidi" w:hAnsiTheme="majorBidi" w:cstheme="majorBidi"/>
          <w:color w:val="000000" w:themeColor="text1"/>
        </w:rPr>
        <w:t>se</w:t>
      </w:r>
      <w:r w:rsidRPr="00F15D3F">
        <w:rPr>
          <w:rFonts w:cs="Times New Roman"/>
          <w:color w:val="000000" w:themeColor="text1"/>
        </w:rPr>
        <w:t xml:space="preserve"> enterprises was USD </w:t>
      </w:r>
      <w:r w:rsidRPr="00F15D3F">
        <w:rPr>
          <w:rFonts w:cs="Times New Roman"/>
          <w:color w:val="000000" w:themeColor="text1"/>
          <w:rtl/>
        </w:rPr>
        <w:t xml:space="preserve"> </w:t>
      </w:r>
      <w:r w:rsidRPr="00F15D3F">
        <w:rPr>
          <w:rFonts w:cs="Times New Roman" w:hint="cs"/>
          <w:color w:val="000000" w:themeColor="text1"/>
          <w:rtl/>
        </w:rPr>
        <w:t>441.8</w:t>
      </w:r>
      <w:r w:rsidRPr="00F15D3F">
        <w:rPr>
          <w:rFonts w:cs="Times New Roman"/>
          <w:color w:val="000000" w:themeColor="text1"/>
        </w:rPr>
        <w:t xml:space="preserve"> million.</w:t>
      </w:r>
    </w:p>
    <w:p w:rsidR="00217314" w:rsidRPr="00543011" w:rsidRDefault="00217314" w:rsidP="00F15D3F">
      <w:pPr>
        <w:pStyle w:val="BodyText2"/>
        <w:numPr>
          <w:ilvl w:val="0"/>
          <w:numId w:val="47"/>
        </w:numPr>
        <w:tabs>
          <w:tab w:val="num" w:pos="284"/>
        </w:tabs>
        <w:bidi w:val="0"/>
        <w:spacing w:before="80"/>
        <w:ind w:left="284" w:right="0" w:hanging="284"/>
        <w:rPr>
          <w:rFonts w:asciiTheme="majorBidi" w:hAnsiTheme="majorBidi" w:cstheme="majorBidi"/>
          <w:color w:val="000000" w:themeColor="text1"/>
        </w:rPr>
      </w:pPr>
      <w:r w:rsidRPr="00F15D3F">
        <w:rPr>
          <w:rFonts w:cs="Times New Roman"/>
          <w:color w:val="000000" w:themeColor="text1"/>
        </w:rPr>
        <w:t>The value added</w:t>
      </w:r>
      <w:r w:rsidRPr="00543011">
        <w:rPr>
          <w:rFonts w:asciiTheme="majorBidi" w:hAnsiTheme="majorBidi" w:cstheme="majorBidi"/>
          <w:color w:val="000000" w:themeColor="text1"/>
        </w:rPr>
        <w:t xml:space="preserve"> realized by the industrial sector was USD </w:t>
      </w:r>
      <w:r w:rsidRPr="00543011">
        <w:rPr>
          <w:rFonts w:asciiTheme="majorBidi" w:hAnsiTheme="majorBidi" w:cstheme="majorBidi"/>
          <w:color w:val="000000" w:themeColor="text1"/>
          <w:rtl/>
        </w:rPr>
        <w:t xml:space="preserve"> </w:t>
      </w:r>
      <w:r w:rsidRPr="00543011">
        <w:rPr>
          <w:rFonts w:hint="cs"/>
          <w:color w:val="000000" w:themeColor="text1"/>
          <w:rtl/>
        </w:rPr>
        <w:t>280.4</w:t>
      </w:r>
      <w:r w:rsidRPr="00543011">
        <w:rPr>
          <w:rFonts w:asciiTheme="majorBidi" w:hAnsiTheme="majorBidi" w:cstheme="majorBidi"/>
          <w:color w:val="000000" w:themeColor="text1"/>
        </w:rPr>
        <w:t>million.</w:t>
      </w:r>
    </w:p>
    <w:p w:rsidR="00217314" w:rsidRPr="00543011" w:rsidRDefault="00217314" w:rsidP="00796931">
      <w:pPr>
        <w:overflowPunct/>
        <w:autoSpaceDE/>
        <w:autoSpaceDN/>
        <w:adjustRightInd/>
        <w:textAlignment w:val="auto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543011">
        <w:rPr>
          <w:rFonts w:ascii="Arial" w:hAnsi="Arial" w:cs="Arial"/>
          <w:b/>
          <w:bCs/>
          <w:color w:val="000000" w:themeColor="text1"/>
          <w:sz w:val="18"/>
          <w:szCs w:val="18"/>
        </w:rPr>
        <w:br w:type="page"/>
      </w:r>
    </w:p>
    <w:p w:rsidR="00217314" w:rsidRPr="00123438" w:rsidRDefault="00217314" w:rsidP="00796931">
      <w:pPr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123438">
        <w:rPr>
          <w:rFonts w:ascii="Arial" w:hAnsi="Arial" w:cs="Arial"/>
          <w:b/>
          <w:bCs/>
          <w:color w:val="000000" w:themeColor="text1"/>
          <w:sz w:val="18"/>
          <w:szCs w:val="18"/>
        </w:rPr>
        <w:lastRenderedPageBreak/>
        <w:t xml:space="preserve">Main Economic Indicators for Industrial Activities in Jerusalem Governorate, </w:t>
      </w:r>
      <w:r w:rsidR="00123438" w:rsidRPr="00123438">
        <w:rPr>
          <w:rFonts w:ascii="Arial" w:hAnsi="Arial" w:cs="Arial"/>
          <w:b/>
          <w:bCs/>
          <w:color w:val="000000" w:themeColor="text1"/>
          <w:sz w:val="18"/>
          <w:szCs w:val="18"/>
        </w:rPr>
        <w:t>2015</w:t>
      </w:r>
    </w:p>
    <w:p w:rsidR="00217314" w:rsidRPr="00543011" w:rsidRDefault="00217314" w:rsidP="00796931">
      <w:pPr>
        <w:jc w:val="center"/>
        <w:rPr>
          <w:rFonts w:ascii="Arial" w:hAnsi="Arial" w:cs="Arial"/>
          <w:b/>
          <w:bCs/>
          <w:color w:val="000000" w:themeColor="text1"/>
          <w:sz w:val="8"/>
          <w:szCs w:val="8"/>
          <w:rtl/>
        </w:rPr>
      </w:pPr>
    </w:p>
    <w:p w:rsidR="00217314" w:rsidRPr="00FF7108" w:rsidRDefault="00C50B68" w:rsidP="00796931">
      <w:pPr>
        <w:rPr>
          <w:rFonts w:ascii="Arial" w:hAnsi="Arial" w:cs="Arial"/>
          <w:color w:val="000000" w:themeColor="text1"/>
          <w:sz w:val="16"/>
          <w:szCs w:val="16"/>
          <w:rtl/>
        </w:rPr>
      </w:pPr>
      <w:r>
        <w:rPr>
          <w:rFonts w:cs="Simplified Arabic" w:hint="cs"/>
          <w:color w:val="000000" w:themeColor="text1"/>
          <w:sz w:val="16"/>
          <w:szCs w:val="16"/>
          <w:rtl/>
        </w:rPr>
        <w:t xml:space="preserve">     </w:t>
      </w:r>
      <w:r w:rsidR="00217314" w:rsidRPr="00FF7108">
        <w:rPr>
          <w:rFonts w:cs="Simplified Arabic" w:hint="cs"/>
          <w:color w:val="000000" w:themeColor="text1"/>
          <w:sz w:val="16"/>
          <w:szCs w:val="16"/>
          <w:rtl/>
        </w:rPr>
        <w:t xml:space="preserve">  </w:t>
      </w:r>
      <w:r w:rsidR="00217314" w:rsidRPr="00FF7108">
        <w:rPr>
          <w:rFonts w:ascii="Arial" w:hAnsi="Arial" w:cs="Simplified Arabic"/>
          <w:color w:val="000000" w:themeColor="text1"/>
          <w:sz w:val="16"/>
          <w:szCs w:val="16"/>
        </w:rPr>
        <w:t>(Value in 1000 USD)</w:t>
      </w:r>
    </w:p>
    <w:p w:rsidR="00217314" w:rsidRPr="00543011" w:rsidRDefault="00514840" w:rsidP="00796931">
      <w:pPr>
        <w:jc w:val="center"/>
        <w:rPr>
          <w:rFonts w:ascii="Arial" w:hAnsi="Arial" w:cs="Arial"/>
          <w:b/>
          <w:bCs/>
          <w:color w:val="000000" w:themeColor="text1"/>
          <w:rtl/>
        </w:rPr>
      </w:pPr>
      <w:r w:rsidRPr="00514840">
        <w:rPr>
          <w:rFonts w:cs="Simplified Arabic"/>
          <w:noProof/>
          <w:color w:val="000000" w:themeColor="text1"/>
          <w:sz w:val="16"/>
          <w:szCs w:val="16"/>
          <w:rtl/>
        </w:rPr>
        <w:pict>
          <v:rect id="Rectangle 2" o:spid="_x0000_s1039" style="position:absolute;left:0;text-align:left;margin-left:297.55pt;margin-top:164.4pt;width:49.2pt;height:17.65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" filled="f" stroked="f">
            <v:textbox style="mso-next-textbox:#Rectangle 2">
              <w:txbxContent>
                <w:p w:rsidR="00653020" w:rsidRPr="00DD0B50" w:rsidRDefault="00653020" w:rsidP="00217314">
                  <w:pPr>
                    <w:rPr>
                      <w:rFonts w:ascii="Arial" w:hAnsi="Arial" w:cs="Arial"/>
                      <w:sz w:val="15"/>
                      <w:szCs w:val="15"/>
                    </w:rPr>
                  </w:pPr>
                </w:p>
              </w:txbxContent>
            </v:textbox>
          </v:rect>
        </w:pict>
      </w:r>
      <w:r w:rsidR="00217314" w:rsidRPr="00543011">
        <w:rPr>
          <w:rFonts w:ascii="Arial" w:hAnsi="Arial" w:cs="Arial"/>
          <w:b/>
          <w:bCs/>
          <w:noProof/>
          <w:color w:val="000000" w:themeColor="text1"/>
          <w:bdr w:val="single" w:sz="4" w:space="0" w:color="auto"/>
          <w:rtl/>
        </w:rPr>
        <w:drawing>
          <wp:inline distT="0" distB="0" distL="0" distR="0">
            <wp:extent cx="4224270" cy="1796603"/>
            <wp:effectExtent l="0" t="0" r="0" b="0"/>
            <wp:docPr id="19" name="Objec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396F32" w:rsidRPr="000562F6" w:rsidRDefault="00396F32" w:rsidP="00796931">
      <w:pPr>
        <w:tabs>
          <w:tab w:val="left" w:pos="284"/>
        </w:tabs>
        <w:jc w:val="both"/>
        <w:rPr>
          <w:b/>
          <w:bCs/>
          <w:color w:val="FF0000"/>
        </w:rPr>
      </w:pPr>
    </w:p>
    <w:p w:rsidR="002D5E37" w:rsidRPr="00E027C9" w:rsidRDefault="002D5E37" w:rsidP="00796931">
      <w:pPr>
        <w:tabs>
          <w:tab w:val="left" w:pos="284"/>
        </w:tabs>
        <w:jc w:val="lowKashida"/>
        <w:rPr>
          <w:rFonts w:asciiTheme="majorBidi" w:hAnsiTheme="majorBidi" w:cstheme="majorBidi"/>
          <w:b/>
          <w:bCs/>
          <w:i/>
          <w:iCs/>
          <w:color w:val="000000" w:themeColor="text1"/>
        </w:rPr>
      </w:pPr>
      <w:r w:rsidRPr="00E027C9">
        <w:rPr>
          <w:rFonts w:asciiTheme="majorBidi" w:hAnsiTheme="majorBidi" w:cstheme="majorBidi"/>
          <w:b/>
          <w:bCs/>
          <w:color w:val="000000" w:themeColor="text1"/>
        </w:rPr>
        <w:t xml:space="preserve">Tourism </w:t>
      </w:r>
    </w:p>
    <w:p w:rsidR="00E027C9" w:rsidRPr="00F15D3F" w:rsidRDefault="00E027C9" w:rsidP="00000F4F">
      <w:pPr>
        <w:pStyle w:val="BodyText2"/>
        <w:numPr>
          <w:ilvl w:val="0"/>
          <w:numId w:val="4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F15D3F">
        <w:rPr>
          <w:rFonts w:cs="Times New Roman"/>
          <w:color w:val="000000" w:themeColor="text1"/>
        </w:rPr>
        <w:t xml:space="preserve">There were 24 hotels in operation at the end of the year 2016 with 1,462 rooms and 3,168 beds in Jerusalem </w:t>
      </w:r>
      <w:r w:rsidR="00000F4F">
        <w:rPr>
          <w:rFonts w:asciiTheme="majorBidi" w:hAnsiTheme="majorBidi" w:cstheme="majorBidi"/>
          <w:color w:val="000000" w:themeColor="text1"/>
        </w:rPr>
        <w:t>G</w:t>
      </w:r>
      <w:r w:rsidR="00000F4F" w:rsidRPr="00236338">
        <w:rPr>
          <w:rFonts w:asciiTheme="majorBidi" w:hAnsiTheme="majorBidi" w:cstheme="majorBidi"/>
          <w:color w:val="000000" w:themeColor="text1"/>
        </w:rPr>
        <w:t>overnorate</w:t>
      </w:r>
      <w:r w:rsidRPr="00F15D3F">
        <w:rPr>
          <w:rFonts w:cs="Times New Roman"/>
          <w:color w:val="000000" w:themeColor="text1"/>
        </w:rPr>
        <w:t>.</w:t>
      </w:r>
    </w:p>
    <w:p w:rsidR="00E027C9" w:rsidRPr="00236338" w:rsidRDefault="00E027C9" w:rsidP="00F15D3F">
      <w:pPr>
        <w:pStyle w:val="BodyText2"/>
        <w:numPr>
          <w:ilvl w:val="0"/>
          <w:numId w:val="47"/>
        </w:numPr>
        <w:tabs>
          <w:tab w:val="num" w:pos="284"/>
        </w:tabs>
        <w:bidi w:val="0"/>
        <w:spacing w:before="80"/>
        <w:ind w:left="284" w:right="0" w:hanging="284"/>
        <w:rPr>
          <w:rFonts w:asciiTheme="majorBidi" w:hAnsiTheme="majorBidi" w:cstheme="majorBidi"/>
          <w:color w:val="000000" w:themeColor="text1"/>
        </w:rPr>
      </w:pPr>
      <w:r w:rsidRPr="00F15D3F">
        <w:rPr>
          <w:rFonts w:cs="Times New Roman"/>
          <w:color w:val="000000" w:themeColor="text1"/>
        </w:rPr>
        <w:t>The total number</w:t>
      </w:r>
      <w:r w:rsidRPr="00236338">
        <w:rPr>
          <w:rFonts w:asciiTheme="majorBidi" w:hAnsiTheme="majorBidi" w:cstheme="majorBidi"/>
          <w:color w:val="000000" w:themeColor="text1"/>
        </w:rPr>
        <w:t xml:space="preserve"> of guests in Jerusalem Governorate hotels was </w:t>
      </w:r>
      <w:r w:rsidRPr="00236338">
        <w:rPr>
          <w:rFonts w:asciiTheme="majorBidi" w:hAnsiTheme="majorBidi" w:cstheme="majorBidi" w:hint="cs"/>
          <w:color w:val="000000" w:themeColor="text1"/>
          <w:rtl/>
        </w:rPr>
        <w:t>99</w:t>
      </w:r>
      <w:r w:rsidRPr="00236338">
        <w:rPr>
          <w:rFonts w:asciiTheme="majorBidi" w:hAnsiTheme="majorBidi" w:cstheme="majorBidi"/>
          <w:color w:val="000000" w:themeColor="text1"/>
          <w:rtl/>
        </w:rPr>
        <w:t>,</w:t>
      </w:r>
      <w:r w:rsidRPr="00236338">
        <w:rPr>
          <w:rFonts w:asciiTheme="majorBidi" w:hAnsiTheme="majorBidi" w:cstheme="majorBidi" w:hint="cs"/>
          <w:color w:val="000000" w:themeColor="text1"/>
          <w:rtl/>
        </w:rPr>
        <w:t>372</w:t>
      </w:r>
      <w:r w:rsidRPr="00236338">
        <w:rPr>
          <w:rFonts w:asciiTheme="majorBidi" w:hAnsiTheme="majorBidi" w:cstheme="majorBidi"/>
          <w:color w:val="000000" w:themeColor="text1"/>
        </w:rPr>
        <w:t xml:space="preserve"> in 2016. </w:t>
      </w:r>
    </w:p>
    <w:p w:rsidR="00E70D23" w:rsidRPr="000562F6" w:rsidRDefault="00E70D23" w:rsidP="00796931">
      <w:pPr>
        <w:jc w:val="lowKashida"/>
        <w:rPr>
          <w:rFonts w:asciiTheme="majorBidi" w:hAnsiTheme="majorBidi" w:cstheme="majorBidi"/>
          <w:b/>
          <w:bCs/>
          <w:color w:val="FF0000"/>
        </w:rPr>
      </w:pPr>
    </w:p>
    <w:p w:rsidR="00986DEF" w:rsidRPr="00264322" w:rsidRDefault="00986DEF" w:rsidP="00796931">
      <w:pPr>
        <w:jc w:val="lowKashida"/>
        <w:rPr>
          <w:rFonts w:asciiTheme="majorBidi" w:hAnsiTheme="majorBidi" w:cstheme="majorBidi"/>
          <w:b/>
          <w:bCs/>
          <w:color w:val="000000" w:themeColor="text1"/>
        </w:rPr>
      </w:pPr>
      <w:r w:rsidRPr="00264322">
        <w:rPr>
          <w:rFonts w:asciiTheme="majorBidi" w:hAnsiTheme="majorBidi" w:cstheme="majorBidi"/>
          <w:b/>
          <w:bCs/>
          <w:color w:val="000000" w:themeColor="text1"/>
        </w:rPr>
        <w:t xml:space="preserve">Services Sector </w:t>
      </w:r>
    </w:p>
    <w:p w:rsidR="00264322" w:rsidRPr="00F15D3F" w:rsidRDefault="00264322" w:rsidP="00F15D3F">
      <w:pPr>
        <w:pStyle w:val="BodyText2"/>
        <w:numPr>
          <w:ilvl w:val="0"/>
          <w:numId w:val="4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F15D3F">
        <w:rPr>
          <w:rFonts w:cs="Times New Roman"/>
          <w:color w:val="000000" w:themeColor="text1"/>
        </w:rPr>
        <w:t>There was 10,585 employees in this sector in Jerusalem Governorate in 2015</w:t>
      </w:r>
      <w:r w:rsidRPr="00F15D3F">
        <w:rPr>
          <w:rFonts w:cs="Times New Roman"/>
          <w:color w:val="000000" w:themeColor="text1"/>
          <w:rtl/>
        </w:rPr>
        <w:t xml:space="preserve"> </w:t>
      </w:r>
    </w:p>
    <w:p w:rsidR="00264322" w:rsidRPr="00F15D3F" w:rsidRDefault="00264322" w:rsidP="00F15D3F">
      <w:pPr>
        <w:pStyle w:val="BodyText2"/>
        <w:numPr>
          <w:ilvl w:val="0"/>
          <w:numId w:val="4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F15D3F">
        <w:rPr>
          <w:rFonts w:cs="Times New Roman"/>
          <w:color w:val="000000" w:themeColor="text1"/>
        </w:rPr>
        <w:t>The output value in Jerusalem Governorate was USD 251.</w:t>
      </w:r>
      <w:r w:rsidRPr="00F15D3F">
        <w:rPr>
          <w:rFonts w:cs="Times New Roman" w:hint="cs"/>
          <w:color w:val="000000" w:themeColor="text1"/>
          <w:rtl/>
        </w:rPr>
        <w:t>3</w:t>
      </w:r>
      <w:r w:rsidRPr="00F15D3F">
        <w:rPr>
          <w:rFonts w:cs="Times New Roman"/>
          <w:color w:val="000000" w:themeColor="text1"/>
        </w:rPr>
        <w:t xml:space="preserve"> million.</w:t>
      </w:r>
    </w:p>
    <w:p w:rsidR="00264322" w:rsidRPr="00264322" w:rsidRDefault="00264322" w:rsidP="00F15D3F">
      <w:pPr>
        <w:pStyle w:val="BodyText2"/>
        <w:numPr>
          <w:ilvl w:val="0"/>
          <w:numId w:val="47"/>
        </w:numPr>
        <w:tabs>
          <w:tab w:val="num" w:pos="284"/>
        </w:tabs>
        <w:bidi w:val="0"/>
        <w:spacing w:before="80"/>
        <w:ind w:left="284" w:right="0" w:hanging="284"/>
        <w:rPr>
          <w:rFonts w:asciiTheme="majorBidi" w:hAnsiTheme="majorBidi" w:cstheme="majorBidi"/>
          <w:color w:val="000000" w:themeColor="text1"/>
        </w:rPr>
      </w:pPr>
      <w:r w:rsidRPr="00F15D3F">
        <w:rPr>
          <w:rFonts w:cs="Times New Roman"/>
          <w:color w:val="000000" w:themeColor="text1"/>
        </w:rPr>
        <w:t>The value added</w:t>
      </w:r>
      <w:r w:rsidRPr="00264322">
        <w:rPr>
          <w:rFonts w:asciiTheme="majorBidi" w:hAnsiTheme="majorBidi" w:cstheme="majorBidi"/>
          <w:color w:val="000000" w:themeColor="text1"/>
        </w:rPr>
        <w:t xml:space="preserve"> realized by the services sector was USD 188.</w:t>
      </w:r>
      <w:r w:rsidRPr="00264322">
        <w:rPr>
          <w:rFonts w:asciiTheme="majorBidi" w:hAnsiTheme="majorBidi" w:cstheme="majorBidi" w:hint="cs"/>
          <w:color w:val="000000" w:themeColor="text1"/>
          <w:rtl/>
        </w:rPr>
        <w:t>3</w:t>
      </w:r>
      <w:r w:rsidRPr="00264322">
        <w:rPr>
          <w:rFonts w:asciiTheme="majorBidi" w:hAnsiTheme="majorBidi" w:cstheme="majorBidi"/>
          <w:color w:val="000000" w:themeColor="text1"/>
        </w:rPr>
        <w:t xml:space="preserve"> million.</w:t>
      </w:r>
    </w:p>
    <w:p w:rsidR="00264322" w:rsidRPr="00264322" w:rsidRDefault="00264322" w:rsidP="00796931">
      <w:pPr>
        <w:pStyle w:val="BodyText2"/>
        <w:tabs>
          <w:tab w:val="left" w:pos="284"/>
        </w:tabs>
        <w:bidi w:val="0"/>
        <w:ind w:left="284"/>
        <w:rPr>
          <w:rFonts w:asciiTheme="majorBidi" w:hAnsiTheme="majorBidi" w:cstheme="majorBidi"/>
          <w:color w:val="000000" w:themeColor="text1"/>
        </w:rPr>
      </w:pPr>
    </w:p>
    <w:p w:rsidR="00264322" w:rsidRPr="00264322" w:rsidRDefault="00264322" w:rsidP="00796931">
      <w:pPr>
        <w:tabs>
          <w:tab w:val="left" w:pos="284"/>
        </w:tabs>
        <w:jc w:val="lowKashida"/>
        <w:rPr>
          <w:rFonts w:asciiTheme="majorBidi" w:hAnsiTheme="majorBidi" w:cstheme="majorBidi"/>
          <w:color w:val="000000" w:themeColor="text1"/>
        </w:rPr>
      </w:pPr>
      <w:r w:rsidRPr="00264322">
        <w:rPr>
          <w:rFonts w:asciiTheme="majorBidi" w:hAnsiTheme="majorBidi" w:cstheme="majorBidi"/>
          <w:b/>
          <w:bCs/>
          <w:color w:val="000000" w:themeColor="text1"/>
        </w:rPr>
        <w:t xml:space="preserve">Internal Trade  </w:t>
      </w:r>
    </w:p>
    <w:p w:rsidR="00264322" w:rsidRPr="00F15D3F" w:rsidRDefault="00264322" w:rsidP="00F15D3F">
      <w:pPr>
        <w:pStyle w:val="BodyText2"/>
        <w:numPr>
          <w:ilvl w:val="0"/>
          <w:numId w:val="4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F15D3F">
        <w:rPr>
          <w:rFonts w:cs="Times New Roman"/>
          <w:color w:val="000000" w:themeColor="text1"/>
        </w:rPr>
        <w:t xml:space="preserve">There were 11,313 employees in this sector in Jerusalem Governorate in 2015. </w:t>
      </w:r>
    </w:p>
    <w:p w:rsidR="00264322" w:rsidRPr="00F15D3F" w:rsidRDefault="00264322" w:rsidP="00F15D3F">
      <w:pPr>
        <w:pStyle w:val="BodyText2"/>
        <w:numPr>
          <w:ilvl w:val="0"/>
          <w:numId w:val="4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F15D3F">
        <w:rPr>
          <w:rFonts w:cs="Times New Roman"/>
          <w:color w:val="000000" w:themeColor="text1"/>
        </w:rPr>
        <w:t>The output value in Jerusalem Governorate was USD 772.4 million.</w:t>
      </w:r>
    </w:p>
    <w:p w:rsidR="00264322" w:rsidRPr="00264322" w:rsidRDefault="00264322" w:rsidP="00F15D3F">
      <w:pPr>
        <w:pStyle w:val="BodyText2"/>
        <w:numPr>
          <w:ilvl w:val="0"/>
          <w:numId w:val="47"/>
        </w:numPr>
        <w:tabs>
          <w:tab w:val="num" w:pos="284"/>
        </w:tabs>
        <w:bidi w:val="0"/>
        <w:spacing w:before="80"/>
        <w:ind w:left="284" w:right="0" w:hanging="284"/>
        <w:rPr>
          <w:rFonts w:asciiTheme="majorBidi" w:hAnsiTheme="majorBidi" w:cstheme="majorBidi"/>
          <w:color w:val="000000" w:themeColor="text1"/>
        </w:rPr>
      </w:pPr>
      <w:r w:rsidRPr="00F15D3F">
        <w:rPr>
          <w:rFonts w:cs="Times New Roman"/>
          <w:color w:val="000000" w:themeColor="text1"/>
        </w:rPr>
        <w:t>The value added</w:t>
      </w:r>
      <w:r w:rsidRPr="00264322">
        <w:rPr>
          <w:rFonts w:asciiTheme="majorBidi" w:hAnsiTheme="majorBidi" w:cstheme="majorBidi"/>
          <w:color w:val="000000" w:themeColor="text1"/>
        </w:rPr>
        <w:t xml:space="preserve"> realized by internal trade was USD 703.1 million.</w:t>
      </w:r>
    </w:p>
    <w:p w:rsidR="00264322" w:rsidRPr="00264322" w:rsidRDefault="00264322" w:rsidP="00796931">
      <w:pPr>
        <w:pStyle w:val="ListParagraph"/>
        <w:jc w:val="lowKashida"/>
        <w:rPr>
          <w:rFonts w:asciiTheme="majorBidi" w:hAnsiTheme="majorBidi" w:cstheme="majorBidi"/>
          <w:color w:val="000000" w:themeColor="text1"/>
        </w:rPr>
      </w:pPr>
    </w:p>
    <w:p w:rsidR="00264322" w:rsidRPr="00264322" w:rsidRDefault="00264322" w:rsidP="00796931">
      <w:pPr>
        <w:tabs>
          <w:tab w:val="num" w:pos="0"/>
          <w:tab w:val="left" w:pos="284"/>
        </w:tabs>
        <w:jc w:val="lowKashida"/>
        <w:rPr>
          <w:rFonts w:asciiTheme="majorBidi" w:hAnsiTheme="majorBidi" w:cstheme="majorBidi"/>
          <w:color w:val="000000" w:themeColor="text1"/>
        </w:rPr>
      </w:pPr>
      <w:r w:rsidRPr="00264322">
        <w:rPr>
          <w:rFonts w:asciiTheme="majorBidi" w:hAnsiTheme="majorBidi" w:cstheme="majorBidi"/>
          <w:b/>
          <w:bCs/>
          <w:color w:val="000000" w:themeColor="text1"/>
        </w:rPr>
        <w:t xml:space="preserve">Registered Foreign Trade </w:t>
      </w:r>
    </w:p>
    <w:p w:rsidR="00264322" w:rsidRPr="00F15D3F" w:rsidRDefault="00264322" w:rsidP="00F15D3F">
      <w:pPr>
        <w:pStyle w:val="BodyText2"/>
        <w:numPr>
          <w:ilvl w:val="0"/>
          <w:numId w:val="4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F15D3F">
        <w:rPr>
          <w:rFonts w:cs="Times New Roman"/>
          <w:color w:val="000000" w:themeColor="text1"/>
        </w:rPr>
        <w:t>The total value of registered imports of goods for Jerusalem Governorate in 201</w:t>
      </w:r>
      <w:r w:rsidRPr="00F15D3F">
        <w:rPr>
          <w:rFonts w:cs="Times New Roman" w:hint="cs"/>
          <w:color w:val="000000" w:themeColor="text1"/>
          <w:rtl/>
        </w:rPr>
        <w:t>5</w:t>
      </w:r>
      <w:r w:rsidRPr="00F15D3F">
        <w:rPr>
          <w:rFonts w:cs="Times New Roman"/>
          <w:color w:val="000000" w:themeColor="text1"/>
        </w:rPr>
        <w:t xml:space="preserve"> was USD </w:t>
      </w:r>
      <w:r w:rsidRPr="00F15D3F">
        <w:rPr>
          <w:rFonts w:cs="Times New Roman" w:hint="cs"/>
          <w:color w:val="000000" w:themeColor="text1"/>
          <w:rtl/>
        </w:rPr>
        <w:t>343.2</w:t>
      </w:r>
      <w:r w:rsidRPr="00F15D3F">
        <w:rPr>
          <w:rFonts w:cs="Times New Roman"/>
          <w:color w:val="000000" w:themeColor="text1"/>
        </w:rPr>
        <w:t xml:space="preserve"> million and showed a decrease of </w:t>
      </w:r>
      <w:r w:rsidRPr="00F15D3F">
        <w:rPr>
          <w:rFonts w:cs="Times New Roman" w:hint="cs"/>
          <w:color w:val="000000" w:themeColor="text1"/>
          <w:rtl/>
        </w:rPr>
        <w:t>5.7</w:t>
      </w:r>
      <w:r w:rsidRPr="00F15D3F">
        <w:rPr>
          <w:rFonts w:cs="Times New Roman"/>
          <w:color w:val="000000" w:themeColor="text1"/>
        </w:rPr>
        <w:t xml:space="preserve">% compared to </w:t>
      </w:r>
      <w:r w:rsidRPr="00F15D3F">
        <w:rPr>
          <w:rFonts w:cs="Times New Roman" w:hint="cs"/>
          <w:color w:val="000000" w:themeColor="text1"/>
          <w:rtl/>
        </w:rPr>
        <w:t>2014</w:t>
      </w:r>
      <w:r w:rsidRPr="00F15D3F">
        <w:rPr>
          <w:rFonts w:cs="Times New Roman"/>
          <w:color w:val="000000" w:themeColor="text1"/>
        </w:rPr>
        <w:t>.</w:t>
      </w:r>
    </w:p>
    <w:p w:rsidR="00264322" w:rsidRPr="00264322" w:rsidRDefault="00264322" w:rsidP="00F15D3F">
      <w:pPr>
        <w:pStyle w:val="BodyText2"/>
        <w:numPr>
          <w:ilvl w:val="0"/>
          <w:numId w:val="47"/>
        </w:numPr>
        <w:tabs>
          <w:tab w:val="num" w:pos="284"/>
        </w:tabs>
        <w:bidi w:val="0"/>
        <w:spacing w:before="80"/>
        <w:ind w:left="284" w:right="0" w:hanging="284"/>
        <w:rPr>
          <w:rFonts w:asciiTheme="majorBidi" w:hAnsiTheme="majorBidi" w:cstheme="majorBidi"/>
          <w:color w:val="000000" w:themeColor="text1"/>
        </w:rPr>
      </w:pPr>
      <w:r w:rsidRPr="00F15D3F">
        <w:rPr>
          <w:rFonts w:cs="Times New Roman"/>
          <w:color w:val="000000" w:themeColor="text1"/>
        </w:rPr>
        <w:t xml:space="preserve">The total value of registered exports of goods from Jerusalem Governorate showed an </w:t>
      </w:r>
      <w:r w:rsidRPr="00F15D3F">
        <w:rPr>
          <w:rFonts w:cs="Times New Roman"/>
        </w:rPr>
        <w:t>increase</w:t>
      </w:r>
      <w:r w:rsidRPr="00F15D3F">
        <w:rPr>
          <w:rFonts w:cs="Times New Roman"/>
          <w:color w:val="000000" w:themeColor="text1"/>
        </w:rPr>
        <w:t xml:space="preserve"> in 2015 by</w:t>
      </w:r>
      <w:r w:rsidRPr="00264322">
        <w:rPr>
          <w:rFonts w:asciiTheme="majorBidi" w:hAnsiTheme="majorBidi" w:cstheme="majorBidi"/>
          <w:color w:val="000000" w:themeColor="text1"/>
        </w:rPr>
        <w:t xml:space="preserve"> 1.0% compared to </w:t>
      </w:r>
      <w:r w:rsidRPr="00264322">
        <w:rPr>
          <w:rFonts w:asciiTheme="majorBidi" w:hAnsiTheme="majorBidi" w:cstheme="majorBidi" w:hint="cs"/>
          <w:color w:val="000000" w:themeColor="text1"/>
          <w:rtl/>
        </w:rPr>
        <w:t>2014</w:t>
      </w:r>
      <w:r w:rsidRPr="00264322">
        <w:rPr>
          <w:rFonts w:asciiTheme="majorBidi" w:hAnsiTheme="majorBidi" w:cstheme="majorBidi"/>
          <w:color w:val="000000" w:themeColor="text1"/>
        </w:rPr>
        <w:t xml:space="preserve"> and reached USD 55.5 million.</w:t>
      </w:r>
    </w:p>
    <w:p w:rsidR="00784217" w:rsidRPr="000562F6" w:rsidRDefault="00784217" w:rsidP="00796931">
      <w:pPr>
        <w:jc w:val="both"/>
        <w:rPr>
          <w:rFonts w:asciiTheme="majorBidi" w:hAnsiTheme="majorBidi" w:cstheme="majorBidi"/>
          <w:b/>
          <w:bCs/>
          <w:color w:val="FF0000"/>
        </w:rPr>
      </w:pPr>
    </w:p>
    <w:p w:rsidR="002F57CD" w:rsidRPr="00460676" w:rsidRDefault="002F57CD" w:rsidP="00796931">
      <w:pPr>
        <w:jc w:val="both"/>
        <w:rPr>
          <w:b/>
          <w:bCs/>
          <w:color w:val="000000" w:themeColor="text1"/>
        </w:rPr>
      </w:pPr>
      <w:r w:rsidRPr="00460676">
        <w:rPr>
          <w:b/>
          <w:bCs/>
          <w:color w:val="000000" w:themeColor="text1"/>
        </w:rPr>
        <w:t xml:space="preserve">Israeli Violations </w:t>
      </w:r>
    </w:p>
    <w:p w:rsidR="00E027C9" w:rsidRPr="00F15D3F" w:rsidRDefault="00E027C9" w:rsidP="00000F4F">
      <w:pPr>
        <w:pStyle w:val="BodyText2"/>
        <w:numPr>
          <w:ilvl w:val="0"/>
          <w:numId w:val="4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F15D3F">
        <w:rPr>
          <w:rFonts w:cs="Times New Roman"/>
          <w:color w:val="000000" w:themeColor="text1"/>
        </w:rPr>
        <w:t xml:space="preserve">26 settlements were constructed on confiscated land in Jerusalem Governorate and 16 of </w:t>
      </w:r>
      <w:r w:rsidR="00000F4F">
        <w:rPr>
          <w:color w:val="000000" w:themeColor="text1"/>
        </w:rPr>
        <w:t>them</w:t>
      </w:r>
      <w:r w:rsidRPr="00F15D3F">
        <w:rPr>
          <w:rFonts w:cs="Times New Roman"/>
          <w:color w:val="000000" w:themeColor="text1"/>
        </w:rPr>
        <w:t xml:space="preserve"> were in area J1 in 2015.</w:t>
      </w:r>
    </w:p>
    <w:p w:rsidR="00E027C9" w:rsidRPr="00F15D3F" w:rsidRDefault="00E027C9" w:rsidP="00000F4F">
      <w:pPr>
        <w:pStyle w:val="BodyText2"/>
        <w:numPr>
          <w:ilvl w:val="0"/>
          <w:numId w:val="4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F15D3F">
        <w:rPr>
          <w:rFonts w:cs="Times New Roman"/>
          <w:color w:val="000000" w:themeColor="text1"/>
        </w:rPr>
        <w:t xml:space="preserve">In 2015, around 292,555 Settlers in the Settlements in Jerusalem Governorate and 214,135 of </w:t>
      </w:r>
      <w:r w:rsidR="00000F4F">
        <w:rPr>
          <w:color w:val="000000" w:themeColor="text1"/>
        </w:rPr>
        <w:t>them</w:t>
      </w:r>
      <w:r w:rsidRPr="00F15D3F">
        <w:rPr>
          <w:rFonts w:cs="Times New Roman"/>
          <w:color w:val="000000" w:themeColor="text1"/>
        </w:rPr>
        <w:t xml:space="preserve"> were in area J1.</w:t>
      </w:r>
    </w:p>
    <w:p w:rsidR="00FA788E" w:rsidRPr="00F15D3F" w:rsidRDefault="00FA788E" w:rsidP="00F15D3F">
      <w:pPr>
        <w:pStyle w:val="BodyText2"/>
        <w:numPr>
          <w:ilvl w:val="0"/>
          <w:numId w:val="47"/>
        </w:numPr>
        <w:tabs>
          <w:tab w:val="num" w:pos="284"/>
        </w:tabs>
        <w:bidi w:val="0"/>
        <w:spacing w:before="80"/>
        <w:ind w:left="284" w:right="0" w:hanging="284"/>
        <w:rPr>
          <w:rFonts w:cs="Times New Roman"/>
          <w:color w:val="000000" w:themeColor="text1"/>
        </w:rPr>
      </w:pPr>
      <w:r w:rsidRPr="00F15D3F">
        <w:rPr>
          <w:rFonts w:cs="Times New Roman"/>
          <w:color w:val="000000" w:themeColor="text1"/>
        </w:rPr>
        <w:t>14,481 Jerusalem ID cards were confiscated between</w:t>
      </w:r>
      <w:r w:rsidRPr="00F15D3F">
        <w:rPr>
          <w:rFonts w:cs="Times New Roman" w:hint="cs"/>
          <w:color w:val="000000" w:themeColor="text1"/>
          <w:rtl/>
        </w:rPr>
        <w:t xml:space="preserve"> </w:t>
      </w:r>
      <w:r w:rsidRPr="00F15D3F">
        <w:rPr>
          <w:rFonts w:cs="Times New Roman"/>
          <w:color w:val="000000" w:themeColor="text1"/>
        </w:rPr>
        <w:t>1967 and 2014, 107 of them</w:t>
      </w:r>
      <w:r w:rsidR="00C41236" w:rsidRPr="00F15D3F">
        <w:rPr>
          <w:rFonts w:cs="Times New Roman"/>
          <w:color w:val="000000" w:themeColor="text1"/>
        </w:rPr>
        <w:t xml:space="preserve">        </w:t>
      </w:r>
      <w:r w:rsidRPr="00F15D3F">
        <w:rPr>
          <w:rFonts w:cs="Times New Roman"/>
          <w:color w:val="000000" w:themeColor="text1"/>
        </w:rPr>
        <w:t xml:space="preserve"> in 2014.</w:t>
      </w:r>
    </w:p>
    <w:p w:rsidR="00FA788E" w:rsidRDefault="00FA788E" w:rsidP="00000F4F">
      <w:pPr>
        <w:pStyle w:val="BodyText2"/>
        <w:numPr>
          <w:ilvl w:val="0"/>
          <w:numId w:val="47"/>
        </w:numPr>
        <w:tabs>
          <w:tab w:val="num" w:pos="284"/>
        </w:tabs>
        <w:bidi w:val="0"/>
        <w:spacing w:before="80"/>
        <w:ind w:left="284" w:right="0" w:hanging="284"/>
        <w:rPr>
          <w:color w:val="000000" w:themeColor="text1"/>
        </w:rPr>
      </w:pPr>
      <w:r w:rsidRPr="00F15D3F">
        <w:rPr>
          <w:rFonts w:cs="Times New Roman"/>
          <w:color w:val="000000" w:themeColor="text1"/>
        </w:rPr>
        <w:lastRenderedPageBreak/>
        <w:t>During 2016, the Israeli authorities</w:t>
      </w:r>
      <w:r w:rsidRPr="00460676">
        <w:rPr>
          <w:color w:val="000000" w:themeColor="text1"/>
        </w:rPr>
        <w:t xml:space="preserve"> demolished 88 buildings in Jerusalem </w:t>
      </w:r>
      <w:r w:rsidR="00000F4F">
        <w:rPr>
          <w:color w:val="000000" w:themeColor="text1"/>
        </w:rPr>
        <w:t>G</w:t>
      </w:r>
      <w:r w:rsidR="00000F4F" w:rsidRPr="00460676">
        <w:rPr>
          <w:color w:val="000000" w:themeColor="text1"/>
        </w:rPr>
        <w:t>overnorate</w:t>
      </w:r>
      <w:r w:rsidRPr="00460676">
        <w:rPr>
          <w:color w:val="000000" w:themeColor="text1"/>
        </w:rPr>
        <w:t>.</w:t>
      </w:r>
    </w:p>
    <w:p w:rsidR="00FF7108" w:rsidRDefault="00FF7108" w:rsidP="00796931">
      <w:pPr>
        <w:pStyle w:val="ListParagraph"/>
        <w:rPr>
          <w:color w:val="000000" w:themeColor="text1"/>
        </w:rPr>
      </w:pPr>
    </w:p>
    <w:p w:rsidR="00FF7108" w:rsidRPr="00C50B68" w:rsidRDefault="00FF7108" w:rsidP="00796931">
      <w:pPr>
        <w:pStyle w:val="BodyText2"/>
        <w:tabs>
          <w:tab w:val="left" w:pos="284"/>
        </w:tabs>
        <w:bidi w:val="0"/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C50B68">
        <w:rPr>
          <w:rFonts w:ascii="Arial" w:hAnsi="Arial" w:cs="Arial"/>
          <w:b/>
          <w:bCs/>
          <w:color w:val="000000" w:themeColor="text1"/>
          <w:sz w:val="18"/>
          <w:szCs w:val="18"/>
        </w:rPr>
        <w:t>Number of Settlers in West Bank by Governorate, 2015</w:t>
      </w:r>
    </w:p>
    <w:p w:rsidR="00793437" w:rsidRPr="000562F6" w:rsidRDefault="00323B36" w:rsidP="00796931">
      <w:pPr>
        <w:pStyle w:val="BodyText2"/>
        <w:tabs>
          <w:tab w:val="left" w:pos="0"/>
        </w:tabs>
        <w:bidi w:val="0"/>
        <w:jc w:val="center"/>
        <w:rPr>
          <w:b/>
          <w:bCs/>
          <w:color w:val="FF0000"/>
        </w:rPr>
      </w:pPr>
      <w:r w:rsidRPr="00FF7108">
        <w:rPr>
          <w:b/>
          <w:bCs/>
          <w:noProof/>
          <w:color w:val="FF0000"/>
          <w:bdr w:val="single" w:sz="4" w:space="0" w:color="auto"/>
        </w:rPr>
        <w:drawing>
          <wp:inline distT="0" distB="0" distL="0" distR="0">
            <wp:extent cx="4131769" cy="4213951"/>
            <wp:effectExtent l="19050" t="0" r="2081" b="0"/>
            <wp:docPr id="10" name="Picture 1" descr="C:\Users\yashqar\Desktop\كتاب القدس الاحصائي 2017\الخرائط الاحصائية 2017\مستعمرين 2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shqar\Desktop\كتاب القدس الاحصائي 2017\الخرائط الاحصائية 2017\مستعمرين 201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t="67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1769" cy="4213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3437" w:rsidRPr="000562F6" w:rsidRDefault="00793437" w:rsidP="00796931">
      <w:pPr>
        <w:pStyle w:val="BodyText2"/>
        <w:tabs>
          <w:tab w:val="left" w:pos="0"/>
        </w:tabs>
        <w:bidi w:val="0"/>
        <w:jc w:val="both"/>
        <w:rPr>
          <w:b/>
          <w:bCs/>
          <w:color w:val="FF0000"/>
        </w:rPr>
      </w:pPr>
    </w:p>
    <w:p w:rsidR="00793437" w:rsidRPr="000562F6" w:rsidRDefault="00793437" w:rsidP="00796931">
      <w:pPr>
        <w:pStyle w:val="BodyText2"/>
        <w:tabs>
          <w:tab w:val="left" w:pos="0"/>
        </w:tabs>
        <w:bidi w:val="0"/>
        <w:jc w:val="both"/>
        <w:rPr>
          <w:b/>
          <w:bCs/>
          <w:color w:val="FF0000"/>
        </w:rPr>
      </w:pPr>
    </w:p>
    <w:p w:rsidR="00BE0448" w:rsidRPr="000562F6" w:rsidRDefault="00BE0448" w:rsidP="00796931">
      <w:pPr>
        <w:overflowPunct/>
        <w:autoSpaceDE/>
        <w:autoSpaceDN/>
        <w:adjustRightInd/>
        <w:textAlignment w:val="auto"/>
        <w:rPr>
          <w:rFonts w:cs="Simplified Arabic"/>
          <w:b/>
          <w:bCs/>
          <w:color w:val="FF0000"/>
        </w:rPr>
      </w:pPr>
    </w:p>
    <w:sectPr w:rsidR="00BE0448" w:rsidRPr="000562F6" w:rsidSect="00A52BFB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footerReference w:type="first" r:id="rId28"/>
      <w:endnotePr>
        <w:numFmt w:val="lowerLetter"/>
      </w:endnotePr>
      <w:type w:val="continuous"/>
      <w:pgSz w:w="9639" w:h="13608" w:code="9"/>
      <w:pgMar w:top="1134" w:right="1134" w:bottom="1134" w:left="1134" w:header="567" w:footer="567" w:gutter="0"/>
      <w:pgNumType w:start="21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53020" w:rsidRDefault="00653020">
      <w:r>
        <w:separator/>
      </w:r>
    </w:p>
  </w:endnote>
  <w:endnote w:type="continuationSeparator" w:id="0">
    <w:p w:rsidR="00653020" w:rsidRDefault="0065302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53020" w:rsidRDefault="00514840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653020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653020" w:rsidRDefault="00653020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53020" w:rsidRDefault="00653020">
    <w:pPr>
      <w:pStyle w:val="Footer"/>
      <w:framePr w:wrap="around" w:vAnchor="text" w:hAnchor="margin" w:xAlign="center" w:y="1"/>
      <w:jc w:val="center"/>
      <w:rPr>
        <w:rStyle w:val="PageNumber"/>
        <w:sz w:val="16"/>
        <w:szCs w:val="16"/>
      </w:rPr>
    </w:pPr>
    <w:r>
      <w:rPr>
        <w:rStyle w:val="PageNumber"/>
        <w:sz w:val="16"/>
        <w:szCs w:val="16"/>
      </w:rPr>
      <w:t>[</w:t>
    </w:r>
    <w:r w:rsidR="00514840">
      <w:rPr>
        <w:rStyle w:val="PageNumber"/>
        <w:sz w:val="16"/>
        <w:szCs w:val="16"/>
      </w:rPr>
      <w:fldChar w:fldCharType="begin"/>
    </w:r>
    <w:r>
      <w:rPr>
        <w:rStyle w:val="PageNumber"/>
        <w:sz w:val="16"/>
        <w:szCs w:val="16"/>
      </w:rPr>
      <w:instrText xml:space="preserve">PAGE  </w:instrText>
    </w:r>
    <w:r w:rsidR="00514840">
      <w:rPr>
        <w:rStyle w:val="PageNumber"/>
        <w:sz w:val="16"/>
        <w:szCs w:val="16"/>
      </w:rPr>
      <w:fldChar w:fldCharType="separate"/>
    </w:r>
    <w:r w:rsidR="00EB1E6E">
      <w:rPr>
        <w:rStyle w:val="PageNumber"/>
        <w:noProof/>
        <w:sz w:val="16"/>
        <w:szCs w:val="16"/>
      </w:rPr>
      <w:t>32</w:t>
    </w:r>
    <w:r w:rsidR="00514840">
      <w:rPr>
        <w:rStyle w:val="PageNumber"/>
        <w:sz w:val="16"/>
        <w:szCs w:val="16"/>
      </w:rPr>
      <w:fldChar w:fldCharType="end"/>
    </w:r>
    <w:r>
      <w:rPr>
        <w:rStyle w:val="PageNumber"/>
        <w:sz w:val="16"/>
        <w:szCs w:val="16"/>
      </w:rPr>
      <w:t>]</w:t>
    </w:r>
  </w:p>
  <w:p w:rsidR="00653020" w:rsidRPr="00884C07" w:rsidRDefault="00653020">
    <w:pPr>
      <w:pStyle w:val="Footer"/>
      <w:jc w:val="center"/>
      <w:rPr>
        <w:sz w:val="16"/>
        <w:szCs w:val="16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53020" w:rsidRDefault="00653020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53020" w:rsidRDefault="00653020">
      <w:r>
        <w:separator/>
      </w:r>
    </w:p>
  </w:footnote>
  <w:footnote w:type="continuationSeparator" w:id="0">
    <w:p w:rsidR="00653020" w:rsidRDefault="00653020">
      <w:r>
        <w:continuationSeparator/>
      </w:r>
    </w:p>
  </w:footnote>
  <w:footnote w:id="1">
    <w:p w:rsidR="00653020" w:rsidRDefault="00653020" w:rsidP="00653020">
      <w:pPr>
        <w:pStyle w:val="FootnoteText"/>
        <w:bidi w:val="0"/>
        <w:jc w:val="both"/>
        <w:rPr>
          <w:rFonts w:cs="Times New Roman"/>
          <w:sz w:val="16"/>
          <w:szCs w:val="16"/>
        </w:rPr>
      </w:pPr>
      <w:r w:rsidRPr="008643D6">
        <w:rPr>
          <w:rFonts w:cs="Simplified Arabic" w:hint="cs"/>
          <w:color w:val="000000" w:themeColor="text1"/>
          <w:sz w:val="16"/>
          <w:szCs w:val="16"/>
          <w:vertAlign w:val="superscript"/>
          <w:rtl/>
        </w:rPr>
        <w:t xml:space="preserve">1 </w:t>
      </w:r>
      <w:r w:rsidRPr="00180021">
        <w:rPr>
          <w:rFonts w:asciiTheme="majorBidi" w:hAnsiTheme="majorBidi" w:cstheme="majorBidi"/>
          <w:color w:val="000000" w:themeColor="text1"/>
          <w:sz w:val="14"/>
          <w:szCs w:val="14"/>
        </w:rPr>
        <w:t xml:space="preserve">Data exclude </w:t>
      </w:r>
      <w:r w:rsidRPr="00180021">
        <w:rPr>
          <w:rFonts w:asciiTheme="majorBidi" w:hAnsiTheme="majorBidi" w:cstheme="majorBidi"/>
          <w:color w:val="000000"/>
          <w:sz w:val="14"/>
          <w:szCs w:val="14"/>
        </w:rPr>
        <w:t>Municipality and Culture Committee Schools in Jerusalem</w:t>
      </w:r>
      <w:r>
        <w:rPr>
          <w:rFonts w:cs="Times New Roman"/>
          <w:color w:val="000000" w:themeColor="text1"/>
          <w:sz w:val="16"/>
          <w:szCs w:val="16"/>
        </w:rPr>
        <w:t xml:space="preserve">, </w:t>
      </w:r>
      <w:r w:rsidRPr="001A484E">
        <w:rPr>
          <w:rFonts w:asciiTheme="majorBidi" w:hAnsiTheme="majorBidi" w:cstheme="majorBidi"/>
          <w:color w:val="000000" w:themeColor="text1"/>
          <w:sz w:val="14"/>
          <w:szCs w:val="14"/>
        </w:rPr>
        <w:t>primary data</w:t>
      </w:r>
      <w:r>
        <w:rPr>
          <w:rFonts w:asciiTheme="majorBidi" w:hAnsiTheme="majorBidi" w:cstheme="majorBidi"/>
          <w:color w:val="000000" w:themeColor="text1"/>
          <w:sz w:val="14"/>
          <w:szCs w:val="14"/>
        </w:rPr>
        <w:t>.</w:t>
      </w:r>
      <w:r>
        <w:rPr>
          <w:rFonts w:cs="Times New Roman"/>
          <w:sz w:val="16"/>
          <w:szCs w:val="16"/>
        </w:rPr>
        <w:tab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53020" w:rsidRDefault="00653020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53020" w:rsidRPr="00313D00" w:rsidRDefault="00653020" w:rsidP="008E0C89">
    <w:pPr>
      <w:pStyle w:val="Header"/>
      <w:bidi/>
      <w:jc w:val="right"/>
      <w:rPr>
        <w:sz w:val="16"/>
        <w:szCs w:val="16"/>
      </w:rPr>
    </w:pPr>
    <w:r w:rsidRPr="00313D00">
      <w:rPr>
        <w:sz w:val="16"/>
        <w:szCs w:val="16"/>
      </w:rPr>
      <w:t>PCBS: Jerusalem Statistical Yearbook 2017</w:t>
    </w:r>
  </w:p>
  <w:p w:rsidR="00653020" w:rsidRPr="00E35CEF" w:rsidRDefault="00653020" w:rsidP="00E35CEF">
    <w:pPr>
      <w:pStyle w:val="Title"/>
      <w:bidi w:val="0"/>
      <w:jc w:val="left"/>
      <w:rPr>
        <w:b w:val="0"/>
        <w:bCs w:val="0"/>
      </w:rPr>
    </w:pPr>
    <w:r>
      <w:rPr>
        <w:b w:val="0"/>
        <w:bCs w:val="0"/>
      </w:rPr>
      <w:t xml:space="preserve"> 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53020" w:rsidRDefault="00653020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FF70DF"/>
    <w:multiLevelType w:val="hybridMultilevel"/>
    <w:tmpl w:val="C32636C4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88A4871"/>
    <w:multiLevelType w:val="hybridMultilevel"/>
    <w:tmpl w:val="B088CFF8"/>
    <w:lvl w:ilvl="0" w:tplc="04090001">
      <w:start w:val="1"/>
      <w:numFmt w:val="bullet"/>
      <w:lvlText w:val=""/>
      <w:lvlJc w:val="left"/>
      <w:pPr>
        <w:tabs>
          <w:tab w:val="num" w:pos="0"/>
        </w:tabs>
        <w:ind w:left="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right="7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righ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righ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right="28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righ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righ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right="50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right="5760" w:hanging="360"/>
      </w:pPr>
      <w:rPr>
        <w:rFonts w:ascii="Wingdings" w:hAnsi="Wingdings" w:hint="default"/>
      </w:rPr>
    </w:lvl>
  </w:abstractNum>
  <w:abstractNum w:abstractNumId="2">
    <w:nsid w:val="09B05C8E"/>
    <w:multiLevelType w:val="hybridMultilevel"/>
    <w:tmpl w:val="F0E652D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0D0D5410"/>
    <w:multiLevelType w:val="hybridMultilevel"/>
    <w:tmpl w:val="589265AE"/>
    <w:lvl w:ilvl="0" w:tplc="04090001">
      <w:start w:val="1"/>
      <w:numFmt w:val="bullet"/>
      <w:lvlText w:val=""/>
      <w:lvlJc w:val="left"/>
      <w:pPr>
        <w:tabs>
          <w:tab w:val="num" w:pos="0"/>
        </w:tabs>
        <w:ind w:left="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right="7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righ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righ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right="28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righ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righ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right="50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right="5760" w:hanging="360"/>
      </w:pPr>
      <w:rPr>
        <w:rFonts w:ascii="Wingdings" w:hAnsi="Wingdings" w:hint="default"/>
      </w:rPr>
    </w:lvl>
  </w:abstractNum>
  <w:abstractNum w:abstractNumId="4">
    <w:nsid w:val="0DF35322"/>
    <w:multiLevelType w:val="hybridMultilevel"/>
    <w:tmpl w:val="DBBE81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E620501"/>
    <w:multiLevelType w:val="hybridMultilevel"/>
    <w:tmpl w:val="67A0F15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6">
    <w:nsid w:val="0FE617ED"/>
    <w:multiLevelType w:val="hybridMultilevel"/>
    <w:tmpl w:val="A5CE434C"/>
    <w:lvl w:ilvl="0" w:tplc="57E2E8E8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7">
    <w:nsid w:val="18912DCC"/>
    <w:multiLevelType w:val="hybridMultilevel"/>
    <w:tmpl w:val="6D0269CA"/>
    <w:lvl w:ilvl="0" w:tplc="04090001">
      <w:start w:val="1"/>
      <w:numFmt w:val="bullet"/>
      <w:lvlText w:val=""/>
      <w:lvlJc w:val="left"/>
      <w:pPr>
        <w:tabs>
          <w:tab w:val="num" w:pos="0"/>
        </w:tabs>
        <w:ind w:left="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right="7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righ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righ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right="28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righ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righ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right="50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right="5760" w:hanging="360"/>
      </w:pPr>
      <w:rPr>
        <w:rFonts w:ascii="Wingdings" w:hAnsi="Wingdings" w:hint="default"/>
      </w:rPr>
    </w:lvl>
  </w:abstractNum>
  <w:abstractNum w:abstractNumId="8">
    <w:nsid w:val="20580DFD"/>
    <w:multiLevelType w:val="hybridMultilevel"/>
    <w:tmpl w:val="C59A38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5C118CB"/>
    <w:multiLevelType w:val="hybridMultilevel"/>
    <w:tmpl w:val="C8A8500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2A1640AE"/>
    <w:multiLevelType w:val="hybridMultilevel"/>
    <w:tmpl w:val="34D88C02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righ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720"/>
        </w:tabs>
        <w:ind w:left="720" w:right="7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righ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righ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right="28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righ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righ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right="50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right="5760" w:hanging="360"/>
      </w:pPr>
      <w:rPr>
        <w:rFonts w:ascii="Wingdings" w:hAnsi="Wingdings" w:hint="default"/>
      </w:rPr>
    </w:lvl>
  </w:abstractNum>
  <w:abstractNum w:abstractNumId="11">
    <w:nsid w:val="2CD2418B"/>
    <w:multiLevelType w:val="hybridMultilevel"/>
    <w:tmpl w:val="80CA67E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2">
    <w:nsid w:val="327B68D0"/>
    <w:multiLevelType w:val="hybridMultilevel"/>
    <w:tmpl w:val="638AFE4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righ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right="7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righ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righ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right="28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righ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righ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right="50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right="5760" w:hanging="360"/>
      </w:pPr>
      <w:rPr>
        <w:rFonts w:ascii="Wingdings" w:hAnsi="Wingdings" w:hint="default"/>
      </w:rPr>
    </w:lvl>
  </w:abstractNum>
  <w:abstractNum w:abstractNumId="13">
    <w:nsid w:val="33241CA9"/>
    <w:multiLevelType w:val="hybridMultilevel"/>
    <w:tmpl w:val="8AFEA8CE"/>
    <w:lvl w:ilvl="0" w:tplc="0401000F">
      <w:start w:val="2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hint="default"/>
        <w:i w:val="0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14">
    <w:nsid w:val="37696740"/>
    <w:multiLevelType w:val="hybridMultilevel"/>
    <w:tmpl w:val="792284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8AC5C34"/>
    <w:multiLevelType w:val="hybridMultilevel"/>
    <w:tmpl w:val="F282FC08"/>
    <w:lvl w:ilvl="0" w:tplc="F0C2E38A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hint="default"/>
        <w:b/>
        <w:bCs/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16">
    <w:nsid w:val="3B78374D"/>
    <w:multiLevelType w:val="hybridMultilevel"/>
    <w:tmpl w:val="71BCDA3A"/>
    <w:lvl w:ilvl="0" w:tplc="04090001">
      <w:start w:val="1"/>
      <w:numFmt w:val="bullet"/>
      <w:lvlText w:val=""/>
      <w:lvlJc w:val="left"/>
      <w:pPr>
        <w:tabs>
          <w:tab w:val="num" w:pos="0"/>
        </w:tabs>
        <w:ind w:left="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right="7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righ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righ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right="28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righ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righ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right="50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right="5760" w:hanging="360"/>
      </w:pPr>
      <w:rPr>
        <w:rFonts w:ascii="Wingdings" w:hAnsi="Wingdings" w:hint="default"/>
      </w:rPr>
    </w:lvl>
  </w:abstractNum>
  <w:abstractNum w:abstractNumId="17">
    <w:nsid w:val="3CB47AD4"/>
    <w:multiLevelType w:val="hybridMultilevel"/>
    <w:tmpl w:val="E9AE622C"/>
    <w:lvl w:ilvl="0" w:tplc="04090001">
      <w:start w:val="1"/>
      <w:numFmt w:val="bullet"/>
      <w:lvlText w:val=""/>
      <w:lvlJc w:val="left"/>
      <w:pPr>
        <w:tabs>
          <w:tab w:val="num" w:pos="0"/>
        </w:tabs>
        <w:ind w:left="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right="7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righ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righ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right="28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righ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righ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right="50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right="5760" w:hanging="360"/>
      </w:pPr>
      <w:rPr>
        <w:rFonts w:ascii="Wingdings" w:hAnsi="Wingdings" w:hint="default"/>
      </w:rPr>
    </w:lvl>
  </w:abstractNum>
  <w:abstractNum w:abstractNumId="18">
    <w:nsid w:val="3D4B1CDF"/>
    <w:multiLevelType w:val="hybridMultilevel"/>
    <w:tmpl w:val="D090AEE0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53E4536">
      <w:start w:val="3438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3D6211AC"/>
    <w:multiLevelType w:val="hybridMultilevel"/>
    <w:tmpl w:val="3152870E"/>
    <w:lvl w:ilvl="0" w:tplc="04090001">
      <w:start w:val="1"/>
      <w:numFmt w:val="bullet"/>
      <w:lvlText w:val=""/>
      <w:lvlJc w:val="left"/>
      <w:pPr>
        <w:tabs>
          <w:tab w:val="num" w:pos="0"/>
        </w:tabs>
        <w:ind w:left="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right="7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righ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righ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right="28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righ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righ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right="50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right="5760" w:hanging="360"/>
      </w:pPr>
      <w:rPr>
        <w:rFonts w:ascii="Wingdings" w:hAnsi="Wingdings" w:hint="default"/>
      </w:rPr>
    </w:lvl>
  </w:abstractNum>
  <w:abstractNum w:abstractNumId="20">
    <w:nsid w:val="3F780FEC"/>
    <w:multiLevelType w:val="hybridMultilevel"/>
    <w:tmpl w:val="04CA32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53D6726"/>
    <w:multiLevelType w:val="hybridMultilevel"/>
    <w:tmpl w:val="F2F8C622"/>
    <w:lvl w:ilvl="0" w:tplc="04090001">
      <w:start w:val="1"/>
      <w:numFmt w:val="bullet"/>
      <w:lvlText w:val=""/>
      <w:lvlJc w:val="left"/>
      <w:pPr>
        <w:tabs>
          <w:tab w:val="num" w:pos="0"/>
        </w:tabs>
        <w:ind w:left="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right="7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righ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righ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right="28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righ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righ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right="50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right="5760" w:hanging="360"/>
      </w:pPr>
      <w:rPr>
        <w:rFonts w:ascii="Wingdings" w:hAnsi="Wingdings" w:hint="default"/>
      </w:rPr>
    </w:lvl>
  </w:abstractNum>
  <w:abstractNum w:abstractNumId="22">
    <w:nsid w:val="46002788"/>
    <w:multiLevelType w:val="hybridMultilevel"/>
    <w:tmpl w:val="8F6EE5E2"/>
    <w:lvl w:ilvl="0" w:tplc="04090001">
      <w:start w:val="1"/>
      <w:numFmt w:val="bullet"/>
      <w:lvlText w:val=""/>
      <w:lvlJc w:val="left"/>
      <w:pPr>
        <w:tabs>
          <w:tab w:val="num" w:pos="0"/>
        </w:tabs>
        <w:ind w:left="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right="7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righ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righ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right="28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righ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righ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right="50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right="5760" w:hanging="360"/>
      </w:pPr>
      <w:rPr>
        <w:rFonts w:ascii="Wingdings" w:hAnsi="Wingdings" w:hint="default"/>
      </w:rPr>
    </w:lvl>
  </w:abstractNum>
  <w:abstractNum w:abstractNumId="23">
    <w:nsid w:val="4C0511BE"/>
    <w:multiLevelType w:val="hybridMultilevel"/>
    <w:tmpl w:val="E1D650C4"/>
    <w:lvl w:ilvl="0" w:tplc="04090001">
      <w:start w:val="1"/>
      <w:numFmt w:val="bullet"/>
      <w:lvlText w:val=""/>
      <w:lvlJc w:val="left"/>
      <w:pPr>
        <w:tabs>
          <w:tab w:val="num" w:pos="0"/>
        </w:tabs>
        <w:ind w:left="0" w:hanging="360"/>
      </w:pPr>
      <w:rPr>
        <w:rFonts w:ascii="Symbol" w:hAnsi="Symbol" w:hint="default"/>
      </w:rPr>
    </w:lvl>
    <w:lvl w:ilvl="1" w:tplc="C936D5C2">
      <w:start w:val="4"/>
      <w:numFmt w:val="bullet"/>
      <w:lvlText w:val="-"/>
      <w:lvlJc w:val="left"/>
      <w:pPr>
        <w:tabs>
          <w:tab w:val="num" w:pos="720"/>
        </w:tabs>
        <w:ind w:left="720" w:right="720" w:hanging="360"/>
      </w:pPr>
      <w:rPr>
        <w:rFonts w:ascii="Times New Roman" w:eastAsia="Times New Roma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righ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righ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right="28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righ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righ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right="50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right="5760" w:hanging="360"/>
      </w:pPr>
      <w:rPr>
        <w:rFonts w:ascii="Wingdings" w:hAnsi="Wingdings" w:hint="default"/>
      </w:rPr>
    </w:lvl>
  </w:abstractNum>
  <w:abstractNum w:abstractNumId="24">
    <w:nsid w:val="50EA6C95"/>
    <w:multiLevelType w:val="hybridMultilevel"/>
    <w:tmpl w:val="9BB4C0C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25">
    <w:nsid w:val="543673AC"/>
    <w:multiLevelType w:val="hybridMultilevel"/>
    <w:tmpl w:val="E2DA620E"/>
    <w:lvl w:ilvl="0" w:tplc="0409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26">
    <w:nsid w:val="5ACA4071"/>
    <w:multiLevelType w:val="hybridMultilevel"/>
    <w:tmpl w:val="FA8C65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27">
    <w:nsid w:val="5D473BC0"/>
    <w:multiLevelType w:val="hybridMultilevel"/>
    <w:tmpl w:val="F0C8AC4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F2023A1"/>
    <w:multiLevelType w:val="hybridMultilevel"/>
    <w:tmpl w:val="4234103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29">
    <w:nsid w:val="5F5D4E8F"/>
    <w:multiLevelType w:val="hybridMultilevel"/>
    <w:tmpl w:val="0A34D37C"/>
    <w:lvl w:ilvl="0" w:tplc="AF909988">
      <w:start w:val="2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30">
    <w:nsid w:val="61390C00"/>
    <w:multiLevelType w:val="hybridMultilevel"/>
    <w:tmpl w:val="FCA023FC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31">
    <w:nsid w:val="63D82E64"/>
    <w:multiLevelType w:val="hybridMultilevel"/>
    <w:tmpl w:val="C78CC41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32">
    <w:nsid w:val="65F376B9"/>
    <w:multiLevelType w:val="hybridMultilevel"/>
    <w:tmpl w:val="E996A8F2"/>
    <w:lvl w:ilvl="0" w:tplc="04090001">
      <w:start w:val="1"/>
      <w:numFmt w:val="bullet"/>
      <w:lvlText w:val=""/>
      <w:lvlJc w:val="left"/>
      <w:pPr>
        <w:tabs>
          <w:tab w:val="num" w:pos="0"/>
        </w:tabs>
        <w:ind w:left="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right="7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righ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righ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right="28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righ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righ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right="50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right="5760" w:hanging="360"/>
      </w:pPr>
      <w:rPr>
        <w:rFonts w:ascii="Wingdings" w:hAnsi="Wingdings" w:hint="default"/>
      </w:rPr>
    </w:lvl>
  </w:abstractNum>
  <w:abstractNum w:abstractNumId="33">
    <w:nsid w:val="66CB4579"/>
    <w:multiLevelType w:val="hybridMultilevel"/>
    <w:tmpl w:val="05200BEE"/>
    <w:lvl w:ilvl="0" w:tplc="04090001">
      <w:start w:val="1"/>
      <w:numFmt w:val="bullet"/>
      <w:lvlText w:val=""/>
      <w:lvlJc w:val="left"/>
      <w:pPr>
        <w:tabs>
          <w:tab w:val="num" w:pos="0"/>
        </w:tabs>
        <w:ind w:left="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right="7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righ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righ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right="28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righ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righ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right="50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right="5760" w:hanging="360"/>
      </w:pPr>
      <w:rPr>
        <w:rFonts w:ascii="Wingdings" w:hAnsi="Wingdings" w:hint="default"/>
      </w:rPr>
    </w:lvl>
  </w:abstractNum>
  <w:abstractNum w:abstractNumId="34">
    <w:nsid w:val="69522B58"/>
    <w:multiLevelType w:val="hybridMultilevel"/>
    <w:tmpl w:val="F44A493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35">
    <w:nsid w:val="783A17FB"/>
    <w:multiLevelType w:val="hybridMultilevel"/>
    <w:tmpl w:val="35BE3970"/>
    <w:lvl w:ilvl="0" w:tplc="E230EC36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>
      <w:start w:val="1"/>
      <w:numFmt w:val="decimal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05">
      <w:start w:val="1"/>
      <w:numFmt w:val="decimal"/>
      <w:lvlText w:val="%3."/>
      <w:lvlJc w:val="left"/>
      <w:pPr>
        <w:tabs>
          <w:tab w:val="num" w:pos="2160"/>
        </w:tabs>
        <w:ind w:left="2160" w:right="2160" w:hanging="360"/>
      </w:pPr>
    </w:lvl>
    <w:lvl w:ilvl="3" w:tplc="0401000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03">
      <w:start w:val="1"/>
      <w:numFmt w:val="decimal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05">
      <w:start w:val="1"/>
      <w:numFmt w:val="decimal"/>
      <w:lvlText w:val="%6."/>
      <w:lvlJc w:val="left"/>
      <w:pPr>
        <w:tabs>
          <w:tab w:val="num" w:pos="4320"/>
        </w:tabs>
        <w:ind w:left="4320" w:right="4320" w:hanging="360"/>
      </w:pPr>
    </w:lvl>
    <w:lvl w:ilvl="6" w:tplc="0401000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03">
      <w:start w:val="1"/>
      <w:numFmt w:val="decimal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05">
      <w:start w:val="1"/>
      <w:numFmt w:val="decimal"/>
      <w:lvlText w:val="%9."/>
      <w:lvlJc w:val="left"/>
      <w:pPr>
        <w:tabs>
          <w:tab w:val="num" w:pos="6480"/>
        </w:tabs>
        <w:ind w:left="6480" w:right="6480" w:hanging="360"/>
      </w:pPr>
    </w:lvl>
  </w:abstractNum>
  <w:abstractNum w:abstractNumId="36">
    <w:nsid w:val="7E252387"/>
    <w:multiLevelType w:val="hybridMultilevel"/>
    <w:tmpl w:val="6D58645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num w:numId="1">
    <w:abstractNumId w:val="36"/>
  </w:num>
  <w:num w:numId="2">
    <w:abstractNumId w:val="31"/>
  </w:num>
  <w:num w:numId="3">
    <w:abstractNumId w:val="11"/>
  </w:num>
  <w:num w:numId="4">
    <w:abstractNumId w:val="24"/>
  </w:num>
  <w:num w:numId="5">
    <w:abstractNumId w:val="26"/>
  </w:num>
  <w:num w:numId="6">
    <w:abstractNumId w:val="28"/>
  </w:num>
  <w:num w:numId="7">
    <w:abstractNumId w:val="34"/>
  </w:num>
  <w:num w:numId="8">
    <w:abstractNumId w:val="5"/>
  </w:num>
  <w:num w:numId="9">
    <w:abstractNumId w:val="1"/>
  </w:num>
  <w:num w:numId="10">
    <w:abstractNumId w:val="3"/>
  </w:num>
  <w:num w:numId="11">
    <w:abstractNumId w:val="10"/>
  </w:num>
  <w:num w:numId="12">
    <w:abstractNumId w:val="12"/>
  </w:num>
  <w:num w:numId="13">
    <w:abstractNumId w:val="21"/>
  </w:num>
  <w:num w:numId="14">
    <w:abstractNumId w:val="19"/>
  </w:num>
  <w:num w:numId="15">
    <w:abstractNumId w:val="16"/>
  </w:num>
  <w:num w:numId="16">
    <w:abstractNumId w:val="17"/>
  </w:num>
  <w:num w:numId="17">
    <w:abstractNumId w:val="22"/>
  </w:num>
  <w:num w:numId="18">
    <w:abstractNumId w:val="7"/>
  </w:num>
  <w:num w:numId="19">
    <w:abstractNumId w:val="32"/>
  </w:num>
  <w:num w:numId="20">
    <w:abstractNumId w:val="33"/>
  </w:num>
  <w:num w:numId="21">
    <w:abstractNumId w:val="23"/>
  </w:num>
  <w:num w:numId="22">
    <w:abstractNumId w:val="13"/>
  </w:num>
  <w:num w:numId="23">
    <w:abstractNumId w:val="15"/>
  </w:num>
  <w:num w:numId="24">
    <w:abstractNumId w:val="29"/>
  </w:num>
  <w:num w:numId="2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3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35"/>
  </w:num>
  <w:num w:numId="31">
    <w:abstractNumId w:val="30"/>
  </w:num>
  <w:num w:numId="32">
    <w:abstractNumId w:val="6"/>
  </w:num>
  <w:num w:numId="33">
    <w:abstractNumId w:val="25"/>
  </w:num>
  <w:num w:numId="34">
    <w:abstractNumId w:val="2"/>
  </w:num>
  <w:num w:numId="35">
    <w:abstractNumId w:val="27"/>
  </w:num>
  <w:num w:numId="36">
    <w:abstractNumId w:val="9"/>
  </w:num>
  <w:num w:numId="37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4"/>
  </w:num>
  <w:num w:numId="39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8"/>
  </w:num>
  <w:num w:numId="41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14"/>
  </w:num>
  <w:num w:numId="43">
    <w:abstractNumId w:val="18"/>
  </w:num>
  <w:num w:numId="44">
    <w:abstractNumId w:val="20"/>
  </w:num>
  <w:num w:numId="45">
    <w:abstractNumId w:val="0"/>
  </w:num>
  <w:num w:numId="46">
    <w:abstractNumId w:val="3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2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8"/>
  <w:proofState w:spelling="clean"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numFmt w:val="lowerLetter"/>
    <w:endnote w:id="-1"/>
    <w:endnote w:id="0"/>
  </w:endnotePr>
  <w:compat>
    <w:balanceSingleByteDoubleByteWidth/>
    <w:doNotLeaveBackslashAlone/>
    <w:ulTrailSpace/>
    <w:doNotExpandShiftReturn/>
  </w:compat>
  <w:rsids>
    <w:rsidRoot w:val="00A366C3"/>
    <w:rsid w:val="00000F4F"/>
    <w:rsid w:val="00001241"/>
    <w:rsid w:val="00001BD2"/>
    <w:rsid w:val="00002D0E"/>
    <w:rsid w:val="00003DAA"/>
    <w:rsid w:val="000048FE"/>
    <w:rsid w:val="00004D8C"/>
    <w:rsid w:val="00005619"/>
    <w:rsid w:val="00011414"/>
    <w:rsid w:val="00016038"/>
    <w:rsid w:val="00016163"/>
    <w:rsid w:val="00016765"/>
    <w:rsid w:val="0001711B"/>
    <w:rsid w:val="00017432"/>
    <w:rsid w:val="00022CD6"/>
    <w:rsid w:val="000244A5"/>
    <w:rsid w:val="00025A6A"/>
    <w:rsid w:val="00027B43"/>
    <w:rsid w:val="00027D20"/>
    <w:rsid w:val="000300F9"/>
    <w:rsid w:val="00030DD1"/>
    <w:rsid w:val="00031FB3"/>
    <w:rsid w:val="0003203D"/>
    <w:rsid w:val="000321FC"/>
    <w:rsid w:val="000330F1"/>
    <w:rsid w:val="00033694"/>
    <w:rsid w:val="000375C3"/>
    <w:rsid w:val="0003797D"/>
    <w:rsid w:val="00040BCD"/>
    <w:rsid w:val="000416C5"/>
    <w:rsid w:val="000433F9"/>
    <w:rsid w:val="00044FB8"/>
    <w:rsid w:val="000502B7"/>
    <w:rsid w:val="00053117"/>
    <w:rsid w:val="00055A4C"/>
    <w:rsid w:val="000560CF"/>
    <w:rsid w:val="000562F6"/>
    <w:rsid w:val="0006123B"/>
    <w:rsid w:val="000617B7"/>
    <w:rsid w:val="000631D2"/>
    <w:rsid w:val="000641AB"/>
    <w:rsid w:val="00071C85"/>
    <w:rsid w:val="00073DE4"/>
    <w:rsid w:val="000765AD"/>
    <w:rsid w:val="00077407"/>
    <w:rsid w:val="00080CE1"/>
    <w:rsid w:val="00081259"/>
    <w:rsid w:val="00081D73"/>
    <w:rsid w:val="00083B3C"/>
    <w:rsid w:val="00083D3E"/>
    <w:rsid w:val="0008771E"/>
    <w:rsid w:val="00090126"/>
    <w:rsid w:val="0009036C"/>
    <w:rsid w:val="00090C33"/>
    <w:rsid w:val="00095DC6"/>
    <w:rsid w:val="00096D39"/>
    <w:rsid w:val="000A0ABB"/>
    <w:rsid w:val="000A1C19"/>
    <w:rsid w:val="000A2AC7"/>
    <w:rsid w:val="000A4CFE"/>
    <w:rsid w:val="000A66CB"/>
    <w:rsid w:val="000A6F58"/>
    <w:rsid w:val="000B032D"/>
    <w:rsid w:val="000B0EA2"/>
    <w:rsid w:val="000B42C5"/>
    <w:rsid w:val="000B42CE"/>
    <w:rsid w:val="000B59DF"/>
    <w:rsid w:val="000B651A"/>
    <w:rsid w:val="000B699B"/>
    <w:rsid w:val="000B6F5D"/>
    <w:rsid w:val="000B7252"/>
    <w:rsid w:val="000B7C15"/>
    <w:rsid w:val="000B7F25"/>
    <w:rsid w:val="000C2581"/>
    <w:rsid w:val="000C2B18"/>
    <w:rsid w:val="000C3AB8"/>
    <w:rsid w:val="000C3B01"/>
    <w:rsid w:val="000C441C"/>
    <w:rsid w:val="000C549C"/>
    <w:rsid w:val="000C5D61"/>
    <w:rsid w:val="000C6F9B"/>
    <w:rsid w:val="000D0A76"/>
    <w:rsid w:val="000D1284"/>
    <w:rsid w:val="000D1337"/>
    <w:rsid w:val="000D2B12"/>
    <w:rsid w:val="000D2B2F"/>
    <w:rsid w:val="000D33F2"/>
    <w:rsid w:val="000D5D84"/>
    <w:rsid w:val="000D6D7E"/>
    <w:rsid w:val="000E160A"/>
    <w:rsid w:val="000E3506"/>
    <w:rsid w:val="000E6864"/>
    <w:rsid w:val="000E7B3B"/>
    <w:rsid w:val="000F163C"/>
    <w:rsid w:val="000F7256"/>
    <w:rsid w:val="00100EF5"/>
    <w:rsid w:val="001015F2"/>
    <w:rsid w:val="00101621"/>
    <w:rsid w:val="00101930"/>
    <w:rsid w:val="00105795"/>
    <w:rsid w:val="00106A5A"/>
    <w:rsid w:val="00106EA9"/>
    <w:rsid w:val="00110391"/>
    <w:rsid w:val="00111DC6"/>
    <w:rsid w:val="00113707"/>
    <w:rsid w:val="001138ED"/>
    <w:rsid w:val="0011473F"/>
    <w:rsid w:val="00117299"/>
    <w:rsid w:val="001213E1"/>
    <w:rsid w:val="00121A95"/>
    <w:rsid w:val="00122F79"/>
    <w:rsid w:val="00123438"/>
    <w:rsid w:val="00124686"/>
    <w:rsid w:val="0012771D"/>
    <w:rsid w:val="00127883"/>
    <w:rsid w:val="00131A00"/>
    <w:rsid w:val="00133E1A"/>
    <w:rsid w:val="00133E33"/>
    <w:rsid w:val="001348E6"/>
    <w:rsid w:val="00134C65"/>
    <w:rsid w:val="001373FF"/>
    <w:rsid w:val="001412A8"/>
    <w:rsid w:val="00141488"/>
    <w:rsid w:val="00146946"/>
    <w:rsid w:val="00146BD8"/>
    <w:rsid w:val="00147372"/>
    <w:rsid w:val="00150C7B"/>
    <w:rsid w:val="00150FB4"/>
    <w:rsid w:val="0015330C"/>
    <w:rsid w:val="00155D30"/>
    <w:rsid w:val="001562B0"/>
    <w:rsid w:val="00156A3D"/>
    <w:rsid w:val="00156F21"/>
    <w:rsid w:val="00157116"/>
    <w:rsid w:val="00163716"/>
    <w:rsid w:val="001655E7"/>
    <w:rsid w:val="00166EC0"/>
    <w:rsid w:val="00170CBA"/>
    <w:rsid w:val="00170CF7"/>
    <w:rsid w:val="0017207D"/>
    <w:rsid w:val="00174479"/>
    <w:rsid w:val="0017633D"/>
    <w:rsid w:val="00176408"/>
    <w:rsid w:val="00180875"/>
    <w:rsid w:val="00183D6F"/>
    <w:rsid w:val="00185D95"/>
    <w:rsid w:val="001864E8"/>
    <w:rsid w:val="00186BE7"/>
    <w:rsid w:val="00187616"/>
    <w:rsid w:val="00191043"/>
    <w:rsid w:val="001930FC"/>
    <w:rsid w:val="001938EB"/>
    <w:rsid w:val="001946B3"/>
    <w:rsid w:val="00195FB8"/>
    <w:rsid w:val="001A32E2"/>
    <w:rsid w:val="001A3D51"/>
    <w:rsid w:val="001A4F6B"/>
    <w:rsid w:val="001A513A"/>
    <w:rsid w:val="001A53AD"/>
    <w:rsid w:val="001B11C8"/>
    <w:rsid w:val="001B2040"/>
    <w:rsid w:val="001B5207"/>
    <w:rsid w:val="001B73C1"/>
    <w:rsid w:val="001C25A7"/>
    <w:rsid w:val="001C34F9"/>
    <w:rsid w:val="001C4F19"/>
    <w:rsid w:val="001C5820"/>
    <w:rsid w:val="001C7777"/>
    <w:rsid w:val="001C7B4E"/>
    <w:rsid w:val="001D004B"/>
    <w:rsid w:val="001D5147"/>
    <w:rsid w:val="001D7160"/>
    <w:rsid w:val="001D7527"/>
    <w:rsid w:val="001D7F12"/>
    <w:rsid w:val="001E0D23"/>
    <w:rsid w:val="001E2B62"/>
    <w:rsid w:val="001E3659"/>
    <w:rsid w:val="001E45AB"/>
    <w:rsid w:val="001E5C31"/>
    <w:rsid w:val="001E6634"/>
    <w:rsid w:val="001E6E24"/>
    <w:rsid w:val="001F1D7C"/>
    <w:rsid w:val="001F2328"/>
    <w:rsid w:val="001F267D"/>
    <w:rsid w:val="001F4E85"/>
    <w:rsid w:val="001F5099"/>
    <w:rsid w:val="001F775E"/>
    <w:rsid w:val="001F7902"/>
    <w:rsid w:val="00200E47"/>
    <w:rsid w:val="00201BBB"/>
    <w:rsid w:val="0020282F"/>
    <w:rsid w:val="00202B49"/>
    <w:rsid w:val="00211F75"/>
    <w:rsid w:val="00212C24"/>
    <w:rsid w:val="00212CBE"/>
    <w:rsid w:val="00212FC8"/>
    <w:rsid w:val="00213166"/>
    <w:rsid w:val="00214FC2"/>
    <w:rsid w:val="00217314"/>
    <w:rsid w:val="0022081A"/>
    <w:rsid w:val="002213D9"/>
    <w:rsid w:val="00222C16"/>
    <w:rsid w:val="00223624"/>
    <w:rsid w:val="00223F56"/>
    <w:rsid w:val="00224A82"/>
    <w:rsid w:val="00224D98"/>
    <w:rsid w:val="00225096"/>
    <w:rsid w:val="00225BCA"/>
    <w:rsid w:val="002301D1"/>
    <w:rsid w:val="00230C4B"/>
    <w:rsid w:val="002317A1"/>
    <w:rsid w:val="00231F3B"/>
    <w:rsid w:val="002336A3"/>
    <w:rsid w:val="0023371E"/>
    <w:rsid w:val="002355A5"/>
    <w:rsid w:val="00235995"/>
    <w:rsid w:val="00235D9E"/>
    <w:rsid w:val="00236338"/>
    <w:rsid w:val="00237D46"/>
    <w:rsid w:val="002405C9"/>
    <w:rsid w:val="0024250E"/>
    <w:rsid w:val="002441C7"/>
    <w:rsid w:val="00246CAE"/>
    <w:rsid w:val="0024790C"/>
    <w:rsid w:val="00251125"/>
    <w:rsid w:val="002511C9"/>
    <w:rsid w:val="00251788"/>
    <w:rsid w:val="00252655"/>
    <w:rsid w:val="00254C54"/>
    <w:rsid w:val="00255119"/>
    <w:rsid w:val="002556B9"/>
    <w:rsid w:val="002556E0"/>
    <w:rsid w:val="00262AA4"/>
    <w:rsid w:val="002631BA"/>
    <w:rsid w:val="0026353F"/>
    <w:rsid w:val="00263C47"/>
    <w:rsid w:val="00264322"/>
    <w:rsid w:val="002663B3"/>
    <w:rsid w:val="00266581"/>
    <w:rsid w:val="002711C2"/>
    <w:rsid w:val="00271C5F"/>
    <w:rsid w:val="002750A1"/>
    <w:rsid w:val="002814F1"/>
    <w:rsid w:val="00282700"/>
    <w:rsid w:val="00285973"/>
    <w:rsid w:val="002870B9"/>
    <w:rsid w:val="00290794"/>
    <w:rsid w:val="002914F9"/>
    <w:rsid w:val="00291D3F"/>
    <w:rsid w:val="002927C6"/>
    <w:rsid w:val="00294CED"/>
    <w:rsid w:val="00294EA4"/>
    <w:rsid w:val="00296226"/>
    <w:rsid w:val="00296662"/>
    <w:rsid w:val="00296EC3"/>
    <w:rsid w:val="00297A75"/>
    <w:rsid w:val="002A0AE1"/>
    <w:rsid w:val="002A2C89"/>
    <w:rsid w:val="002A4A36"/>
    <w:rsid w:val="002A4CCA"/>
    <w:rsid w:val="002A594A"/>
    <w:rsid w:val="002A6117"/>
    <w:rsid w:val="002A6D39"/>
    <w:rsid w:val="002B02BD"/>
    <w:rsid w:val="002B1660"/>
    <w:rsid w:val="002B4405"/>
    <w:rsid w:val="002B5724"/>
    <w:rsid w:val="002B7714"/>
    <w:rsid w:val="002B7845"/>
    <w:rsid w:val="002C03CA"/>
    <w:rsid w:val="002C0685"/>
    <w:rsid w:val="002C433E"/>
    <w:rsid w:val="002C5890"/>
    <w:rsid w:val="002C5E71"/>
    <w:rsid w:val="002C6A4E"/>
    <w:rsid w:val="002C75C2"/>
    <w:rsid w:val="002D0124"/>
    <w:rsid w:val="002D073E"/>
    <w:rsid w:val="002D09B9"/>
    <w:rsid w:val="002D2B3C"/>
    <w:rsid w:val="002D34B3"/>
    <w:rsid w:val="002D5C35"/>
    <w:rsid w:val="002D5E37"/>
    <w:rsid w:val="002E1291"/>
    <w:rsid w:val="002E12F6"/>
    <w:rsid w:val="002E1958"/>
    <w:rsid w:val="002E19A8"/>
    <w:rsid w:val="002E2136"/>
    <w:rsid w:val="002E36F3"/>
    <w:rsid w:val="002F033A"/>
    <w:rsid w:val="002F10FA"/>
    <w:rsid w:val="002F4121"/>
    <w:rsid w:val="002F57CD"/>
    <w:rsid w:val="002F7D17"/>
    <w:rsid w:val="0030374A"/>
    <w:rsid w:val="00310F37"/>
    <w:rsid w:val="00311100"/>
    <w:rsid w:val="0031315C"/>
    <w:rsid w:val="00313947"/>
    <w:rsid w:val="00313D00"/>
    <w:rsid w:val="00313EB2"/>
    <w:rsid w:val="0032261F"/>
    <w:rsid w:val="00323B36"/>
    <w:rsid w:val="003253B0"/>
    <w:rsid w:val="00327556"/>
    <w:rsid w:val="003307F3"/>
    <w:rsid w:val="00331C1A"/>
    <w:rsid w:val="00331E85"/>
    <w:rsid w:val="003330E5"/>
    <w:rsid w:val="0033454C"/>
    <w:rsid w:val="003356FE"/>
    <w:rsid w:val="00342FAB"/>
    <w:rsid w:val="00343CEA"/>
    <w:rsid w:val="00351E1A"/>
    <w:rsid w:val="00354CEE"/>
    <w:rsid w:val="00355091"/>
    <w:rsid w:val="00360AF7"/>
    <w:rsid w:val="00361D5F"/>
    <w:rsid w:val="003636BE"/>
    <w:rsid w:val="00364E5F"/>
    <w:rsid w:val="003655D0"/>
    <w:rsid w:val="00365A8D"/>
    <w:rsid w:val="00367679"/>
    <w:rsid w:val="00367BCA"/>
    <w:rsid w:val="00374736"/>
    <w:rsid w:val="00374DF8"/>
    <w:rsid w:val="003804DA"/>
    <w:rsid w:val="003813D1"/>
    <w:rsid w:val="00381602"/>
    <w:rsid w:val="00383688"/>
    <w:rsid w:val="00385EFE"/>
    <w:rsid w:val="003930AA"/>
    <w:rsid w:val="0039380E"/>
    <w:rsid w:val="00394900"/>
    <w:rsid w:val="00394929"/>
    <w:rsid w:val="00394EEE"/>
    <w:rsid w:val="0039526C"/>
    <w:rsid w:val="003960CB"/>
    <w:rsid w:val="00396F32"/>
    <w:rsid w:val="003A0D2B"/>
    <w:rsid w:val="003A3070"/>
    <w:rsid w:val="003A4476"/>
    <w:rsid w:val="003A5945"/>
    <w:rsid w:val="003A6219"/>
    <w:rsid w:val="003B2B82"/>
    <w:rsid w:val="003B32F7"/>
    <w:rsid w:val="003B368B"/>
    <w:rsid w:val="003B5838"/>
    <w:rsid w:val="003B639D"/>
    <w:rsid w:val="003C13DB"/>
    <w:rsid w:val="003C2326"/>
    <w:rsid w:val="003C36FD"/>
    <w:rsid w:val="003C7999"/>
    <w:rsid w:val="003D2BFE"/>
    <w:rsid w:val="003D3391"/>
    <w:rsid w:val="003D46F8"/>
    <w:rsid w:val="003D7433"/>
    <w:rsid w:val="003D7849"/>
    <w:rsid w:val="003D7B6F"/>
    <w:rsid w:val="003E3F51"/>
    <w:rsid w:val="003E5F56"/>
    <w:rsid w:val="003E7F7C"/>
    <w:rsid w:val="003F0A56"/>
    <w:rsid w:val="003F0CB8"/>
    <w:rsid w:val="003F0EB6"/>
    <w:rsid w:val="003F1770"/>
    <w:rsid w:val="003F4452"/>
    <w:rsid w:val="003F460F"/>
    <w:rsid w:val="003F5A11"/>
    <w:rsid w:val="003F7C43"/>
    <w:rsid w:val="00405623"/>
    <w:rsid w:val="004065B2"/>
    <w:rsid w:val="00406EF3"/>
    <w:rsid w:val="00410086"/>
    <w:rsid w:val="00410DDF"/>
    <w:rsid w:val="00411FBC"/>
    <w:rsid w:val="00413FA6"/>
    <w:rsid w:val="00414990"/>
    <w:rsid w:val="00417D6C"/>
    <w:rsid w:val="00421BD9"/>
    <w:rsid w:val="00427222"/>
    <w:rsid w:val="00432170"/>
    <w:rsid w:val="004325B0"/>
    <w:rsid w:val="00433E16"/>
    <w:rsid w:val="004365C7"/>
    <w:rsid w:val="004400B0"/>
    <w:rsid w:val="004405D9"/>
    <w:rsid w:val="004432BE"/>
    <w:rsid w:val="0044413B"/>
    <w:rsid w:val="004459A8"/>
    <w:rsid w:val="00445C45"/>
    <w:rsid w:val="00450CD0"/>
    <w:rsid w:val="00450E18"/>
    <w:rsid w:val="00452AEF"/>
    <w:rsid w:val="00454FF2"/>
    <w:rsid w:val="00456322"/>
    <w:rsid w:val="00456C39"/>
    <w:rsid w:val="00456DC8"/>
    <w:rsid w:val="00460676"/>
    <w:rsid w:val="0046082F"/>
    <w:rsid w:val="00461A7B"/>
    <w:rsid w:val="00464D6E"/>
    <w:rsid w:val="0046576B"/>
    <w:rsid w:val="00467B3E"/>
    <w:rsid w:val="00471A37"/>
    <w:rsid w:val="0047454C"/>
    <w:rsid w:val="004748F2"/>
    <w:rsid w:val="004757ED"/>
    <w:rsid w:val="004773D0"/>
    <w:rsid w:val="00482932"/>
    <w:rsid w:val="00484252"/>
    <w:rsid w:val="00484A54"/>
    <w:rsid w:val="004868F5"/>
    <w:rsid w:val="00491234"/>
    <w:rsid w:val="004928B0"/>
    <w:rsid w:val="0049308F"/>
    <w:rsid w:val="004936F7"/>
    <w:rsid w:val="00493813"/>
    <w:rsid w:val="0049410B"/>
    <w:rsid w:val="00494806"/>
    <w:rsid w:val="0049790B"/>
    <w:rsid w:val="004A0AE2"/>
    <w:rsid w:val="004A1EE2"/>
    <w:rsid w:val="004A2C49"/>
    <w:rsid w:val="004B001B"/>
    <w:rsid w:val="004B1C8C"/>
    <w:rsid w:val="004B2D49"/>
    <w:rsid w:val="004B37BE"/>
    <w:rsid w:val="004B3AB8"/>
    <w:rsid w:val="004B4961"/>
    <w:rsid w:val="004B4DF7"/>
    <w:rsid w:val="004B5D2E"/>
    <w:rsid w:val="004B67A2"/>
    <w:rsid w:val="004C068B"/>
    <w:rsid w:val="004C06EF"/>
    <w:rsid w:val="004C1276"/>
    <w:rsid w:val="004C14FE"/>
    <w:rsid w:val="004C675F"/>
    <w:rsid w:val="004C7DCA"/>
    <w:rsid w:val="004D12F8"/>
    <w:rsid w:val="004D3A79"/>
    <w:rsid w:val="004D687E"/>
    <w:rsid w:val="004E0AC6"/>
    <w:rsid w:val="004E610E"/>
    <w:rsid w:val="004F2284"/>
    <w:rsid w:val="004F2ED2"/>
    <w:rsid w:val="004F4C25"/>
    <w:rsid w:val="004F6AE9"/>
    <w:rsid w:val="004F7286"/>
    <w:rsid w:val="004F7614"/>
    <w:rsid w:val="0050028D"/>
    <w:rsid w:val="00501CD9"/>
    <w:rsid w:val="0050283E"/>
    <w:rsid w:val="00505C90"/>
    <w:rsid w:val="00506B1A"/>
    <w:rsid w:val="0051165A"/>
    <w:rsid w:val="005135C7"/>
    <w:rsid w:val="00514840"/>
    <w:rsid w:val="00514E79"/>
    <w:rsid w:val="005162FF"/>
    <w:rsid w:val="00520949"/>
    <w:rsid w:val="00521BC9"/>
    <w:rsid w:val="005235F3"/>
    <w:rsid w:val="00524574"/>
    <w:rsid w:val="005275D8"/>
    <w:rsid w:val="00527998"/>
    <w:rsid w:val="00530108"/>
    <w:rsid w:val="00530FFA"/>
    <w:rsid w:val="00533615"/>
    <w:rsid w:val="00534891"/>
    <w:rsid w:val="00535F58"/>
    <w:rsid w:val="005369D3"/>
    <w:rsid w:val="00537694"/>
    <w:rsid w:val="00540D37"/>
    <w:rsid w:val="00540E86"/>
    <w:rsid w:val="00543011"/>
    <w:rsid w:val="005443CC"/>
    <w:rsid w:val="00544F04"/>
    <w:rsid w:val="005471B7"/>
    <w:rsid w:val="00551D25"/>
    <w:rsid w:val="00551F40"/>
    <w:rsid w:val="00554549"/>
    <w:rsid w:val="005556AB"/>
    <w:rsid w:val="00556DFC"/>
    <w:rsid w:val="0056089C"/>
    <w:rsid w:val="00560D43"/>
    <w:rsid w:val="005620EF"/>
    <w:rsid w:val="00565679"/>
    <w:rsid w:val="005671C4"/>
    <w:rsid w:val="00572707"/>
    <w:rsid w:val="00577CD0"/>
    <w:rsid w:val="00580C01"/>
    <w:rsid w:val="00584738"/>
    <w:rsid w:val="0058704C"/>
    <w:rsid w:val="00591E3C"/>
    <w:rsid w:val="00592D77"/>
    <w:rsid w:val="00594893"/>
    <w:rsid w:val="0059670B"/>
    <w:rsid w:val="005971FF"/>
    <w:rsid w:val="005972E1"/>
    <w:rsid w:val="0059761A"/>
    <w:rsid w:val="005A0A8C"/>
    <w:rsid w:val="005A0C08"/>
    <w:rsid w:val="005A3CB6"/>
    <w:rsid w:val="005A4C97"/>
    <w:rsid w:val="005B08CE"/>
    <w:rsid w:val="005B5E18"/>
    <w:rsid w:val="005B62F8"/>
    <w:rsid w:val="005B7F58"/>
    <w:rsid w:val="005C0776"/>
    <w:rsid w:val="005C24D2"/>
    <w:rsid w:val="005C270B"/>
    <w:rsid w:val="005C28E9"/>
    <w:rsid w:val="005C553F"/>
    <w:rsid w:val="005C680E"/>
    <w:rsid w:val="005C6F1B"/>
    <w:rsid w:val="005D0132"/>
    <w:rsid w:val="005D08AF"/>
    <w:rsid w:val="005D09EE"/>
    <w:rsid w:val="005D1EC0"/>
    <w:rsid w:val="005D21F2"/>
    <w:rsid w:val="005D22F7"/>
    <w:rsid w:val="005D279A"/>
    <w:rsid w:val="005D295F"/>
    <w:rsid w:val="005D3820"/>
    <w:rsid w:val="005D41D3"/>
    <w:rsid w:val="005D58C9"/>
    <w:rsid w:val="005E02CB"/>
    <w:rsid w:val="005E0B74"/>
    <w:rsid w:val="005E0E1F"/>
    <w:rsid w:val="005E2836"/>
    <w:rsid w:val="005E2DAC"/>
    <w:rsid w:val="005E3631"/>
    <w:rsid w:val="005E367A"/>
    <w:rsid w:val="005E40E3"/>
    <w:rsid w:val="005E4F0A"/>
    <w:rsid w:val="005E50B6"/>
    <w:rsid w:val="005E7E82"/>
    <w:rsid w:val="005F0D4A"/>
    <w:rsid w:val="005F18E7"/>
    <w:rsid w:val="005F42CB"/>
    <w:rsid w:val="005F550D"/>
    <w:rsid w:val="005F5B22"/>
    <w:rsid w:val="005F602E"/>
    <w:rsid w:val="005F7BAB"/>
    <w:rsid w:val="00601849"/>
    <w:rsid w:val="00603867"/>
    <w:rsid w:val="006071E7"/>
    <w:rsid w:val="0061085F"/>
    <w:rsid w:val="00612215"/>
    <w:rsid w:val="00612F0E"/>
    <w:rsid w:val="0061443F"/>
    <w:rsid w:val="006158EF"/>
    <w:rsid w:val="00616269"/>
    <w:rsid w:val="00621FDF"/>
    <w:rsid w:val="006221FB"/>
    <w:rsid w:val="006259AC"/>
    <w:rsid w:val="0062611B"/>
    <w:rsid w:val="006304FA"/>
    <w:rsid w:val="006312D5"/>
    <w:rsid w:val="006317C5"/>
    <w:rsid w:val="0063640F"/>
    <w:rsid w:val="006365C3"/>
    <w:rsid w:val="00636711"/>
    <w:rsid w:val="006418C5"/>
    <w:rsid w:val="00641C6F"/>
    <w:rsid w:val="00651D8F"/>
    <w:rsid w:val="00652B6F"/>
    <w:rsid w:val="00653020"/>
    <w:rsid w:val="00653A73"/>
    <w:rsid w:val="00655A23"/>
    <w:rsid w:val="00657AB6"/>
    <w:rsid w:val="00661FE1"/>
    <w:rsid w:val="006642A7"/>
    <w:rsid w:val="00664DBF"/>
    <w:rsid w:val="00665D04"/>
    <w:rsid w:val="0066744E"/>
    <w:rsid w:val="00667B33"/>
    <w:rsid w:val="00670F60"/>
    <w:rsid w:val="00674987"/>
    <w:rsid w:val="00680BFF"/>
    <w:rsid w:val="00682F0D"/>
    <w:rsid w:val="00683EA1"/>
    <w:rsid w:val="0068614B"/>
    <w:rsid w:val="00686B0A"/>
    <w:rsid w:val="00687E9F"/>
    <w:rsid w:val="00690AF2"/>
    <w:rsid w:val="00695011"/>
    <w:rsid w:val="0069504E"/>
    <w:rsid w:val="00696334"/>
    <w:rsid w:val="006970DC"/>
    <w:rsid w:val="006A0980"/>
    <w:rsid w:val="006A246C"/>
    <w:rsid w:val="006A353A"/>
    <w:rsid w:val="006A4F9F"/>
    <w:rsid w:val="006B1C8C"/>
    <w:rsid w:val="006B1E43"/>
    <w:rsid w:val="006B4CC7"/>
    <w:rsid w:val="006C0C4A"/>
    <w:rsid w:val="006C1B91"/>
    <w:rsid w:val="006C3760"/>
    <w:rsid w:val="006C519C"/>
    <w:rsid w:val="006C5A84"/>
    <w:rsid w:val="006C5AC1"/>
    <w:rsid w:val="006C66B4"/>
    <w:rsid w:val="006C6F04"/>
    <w:rsid w:val="006C727E"/>
    <w:rsid w:val="006C750F"/>
    <w:rsid w:val="006C7AAD"/>
    <w:rsid w:val="006C7EBF"/>
    <w:rsid w:val="006D060B"/>
    <w:rsid w:val="006D4767"/>
    <w:rsid w:val="006D4E39"/>
    <w:rsid w:val="006D5E37"/>
    <w:rsid w:val="006D7863"/>
    <w:rsid w:val="006E0CED"/>
    <w:rsid w:val="006E0D63"/>
    <w:rsid w:val="006E2BCB"/>
    <w:rsid w:val="006E32DD"/>
    <w:rsid w:val="006F081C"/>
    <w:rsid w:val="006F1081"/>
    <w:rsid w:val="006F5C9D"/>
    <w:rsid w:val="006F6282"/>
    <w:rsid w:val="006F7BA5"/>
    <w:rsid w:val="00701CFB"/>
    <w:rsid w:val="0070569F"/>
    <w:rsid w:val="007077F9"/>
    <w:rsid w:val="00707ABD"/>
    <w:rsid w:val="00710761"/>
    <w:rsid w:val="00711FD7"/>
    <w:rsid w:val="0071408B"/>
    <w:rsid w:val="00716ECB"/>
    <w:rsid w:val="00717DAE"/>
    <w:rsid w:val="0072226A"/>
    <w:rsid w:val="007233E1"/>
    <w:rsid w:val="00723B46"/>
    <w:rsid w:val="00726268"/>
    <w:rsid w:val="00737C58"/>
    <w:rsid w:val="007401AF"/>
    <w:rsid w:val="0074589C"/>
    <w:rsid w:val="00746094"/>
    <w:rsid w:val="00746169"/>
    <w:rsid w:val="0074620A"/>
    <w:rsid w:val="007518A3"/>
    <w:rsid w:val="00751C9A"/>
    <w:rsid w:val="007565DA"/>
    <w:rsid w:val="0075766C"/>
    <w:rsid w:val="00757945"/>
    <w:rsid w:val="00760215"/>
    <w:rsid w:val="00761C27"/>
    <w:rsid w:val="00762432"/>
    <w:rsid w:val="00762BD2"/>
    <w:rsid w:val="00763660"/>
    <w:rsid w:val="00763AC8"/>
    <w:rsid w:val="0076738E"/>
    <w:rsid w:val="00774110"/>
    <w:rsid w:val="00774BD7"/>
    <w:rsid w:val="00774CA4"/>
    <w:rsid w:val="0078001E"/>
    <w:rsid w:val="00781036"/>
    <w:rsid w:val="00781B9D"/>
    <w:rsid w:val="00784217"/>
    <w:rsid w:val="00786BB7"/>
    <w:rsid w:val="0078786B"/>
    <w:rsid w:val="00793437"/>
    <w:rsid w:val="0079530E"/>
    <w:rsid w:val="00796196"/>
    <w:rsid w:val="00796931"/>
    <w:rsid w:val="00797225"/>
    <w:rsid w:val="00797272"/>
    <w:rsid w:val="007A2C00"/>
    <w:rsid w:val="007A328A"/>
    <w:rsid w:val="007A4AFC"/>
    <w:rsid w:val="007A5851"/>
    <w:rsid w:val="007B0E7D"/>
    <w:rsid w:val="007B1CDA"/>
    <w:rsid w:val="007B1F6C"/>
    <w:rsid w:val="007B38BE"/>
    <w:rsid w:val="007B59FD"/>
    <w:rsid w:val="007C0026"/>
    <w:rsid w:val="007C0E2C"/>
    <w:rsid w:val="007C10D3"/>
    <w:rsid w:val="007C2A64"/>
    <w:rsid w:val="007C3E07"/>
    <w:rsid w:val="007C4212"/>
    <w:rsid w:val="007D1BDA"/>
    <w:rsid w:val="007D456C"/>
    <w:rsid w:val="007D4BEC"/>
    <w:rsid w:val="007D4CC9"/>
    <w:rsid w:val="007D50D5"/>
    <w:rsid w:val="007D57E9"/>
    <w:rsid w:val="007D57EF"/>
    <w:rsid w:val="007D5BC6"/>
    <w:rsid w:val="007D5C07"/>
    <w:rsid w:val="007E123E"/>
    <w:rsid w:val="007E2562"/>
    <w:rsid w:val="007E2F8D"/>
    <w:rsid w:val="007E37BF"/>
    <w:rsid w:val="007E4CA5"/>
    <w:rsid w:val="007E575A"/>
    <w:rsid w:val="007F1A76"/>
    <w:rsid w:val="007F257F"/>
    <w:rsid w:val="007F355C"/>
    <w:rsid w:val="007F47B3"/>
    <w:rsid w:val="00800EDC"/>
    <w:rsid w:val="008062C1"/>
    <w:rsid w:val="00807344"/>
    <w:rsid w:val="00807D9A"/>
    <w:rsid w:val="008108DD"/>
    <w:rsid w:val="008113D0"/>
    <w:rsid w:val="008135D0"/>
    <w:rsid w:val="00813E3E"/>
    <w:rsid w:val="00814941"/>
    <w:rsid w:val="00816B7C"/>
    <w:rsid w:val="00820076"/>
    <w:rsid w:val="00820173"/>
    <w:rsid w:val="00820687"/>
    <w:rsid w:val="008216CC"/>
    <w:rsid w:val="00822913"/>
    <w:rsid w:val="00823329"/>
    <w:rsid w:val="00823359"/>
    <w:rsid w:val="0082699B"/>
    <w:rsid w:val="00827B1B"/>
    <w:rsid w:val="00830C62"/>
    <w:rsid w:val="0083228B"/>
    <w:rsid w:val="00832EFF"/>
    <w:rsid w:val="00834970"/>
    <w:rsid w:val="00840240"/>
    <w:rsid w:val="0084037A"/>
    <w:rsid w:val="00840F98"/>
    <w:rsid w:val="00842349"/>
    <w:rsid w:val="0084349A"/>
    <w:rsid w:val="008446C5"/>
    <w:rsid w:val="00844A51"/>
    <w:rsid w:val="00846B7B"/>
    <w:rsid w:val="00850C8F"/>
    <w:rsid w:val="008551DF"/>
    <w:rsid w:val="008554F4"/>
    <w:rsid w:val="0085552B"/>
    <w:rsid w:val="0086234B"/>
    <w:rsid w:val="008623A7"/>
    <w:rsid w:val="00863647"/>
    <w:rsid w:val="008643D6"/>
    <w:rsid w:val="008670F5"/>
    <w:rsid w:val="00870CA7"/>
    <w:rsid w:val="00871BEA"/>
    <w:rsid w:val="00871EAA"/>
    <w:rsid w:val="00873CA2"/>
    <w:rsid w:val="0087616D"/>
    <w:rsid w:val="00876C29"/>
    <w:rsid w:val="00881201"/>
    <w:rsid w:val="00882481"/>
    <w:rsid w:val="00884C07"/>
    <w:rsid w:val="0088501A"/>
    <w:rsid w:val="00890B95"/>
    <w:rsid w:val="00895197"/>
    <w:rsid w:val="00896C83"/>
    <w:rsid w:val="008A20A0"/>
    <w:rsid w:val="008A3E37"/>
    <w:rsid w:val="008A422D"/>
    <w:rsid w:val="008A56D1"/>
    <w:rsid w:val="008A75C8"/>
    <w:rsid w:val="008B217C"/>
    <w:rsid w:val="008B22EF"/>
    <w:rsid w:val="008B5849"/>
    <w:rsid w:val="008B7610"/>
    <w:rsid w:val="008B7963"/>
    <w:rsid w:val="008C144C"/>
    <w:rsid w:val="008C2C89"/>
    <w:rsid w:val="008C4F12"/>
    <w:rsid w:val="008C55A2"/>
    <w:rsid w:val="008C6DF9"/>
    <w:rsid w:val="008D0D4D"/>
    <w:rsid w:val="008D1E0E"/>
    <w:rsid w:val="008D30C3"/>
    <w:rsid w:val="008D3529"/>
    <w:rsid w:val="008D427D"/>
    <w:rsid w:val="008D4716"/>
    <w:rsid w:val="008D471E"/>
    <w:rsid w:val="008D4EDE"/>
    <w:rsid w:val="008E04B8"/>
    <w:rsid w:val="008E0C89"/>
    <w:rsid w:val="008E1327"/>
    <w:rsid w:val="008E4D28"/>
    <w:rsid w:val="008E73D5"/>
    <w:rsid w:val="008E74DC"/>
    <w:rsid w:val="008F028F"/>
    <w:rsid w:val="008F3225"/>
    <w:rsid w:val="008F413F"/>
    <w:rsid w:val="008F5309"/>
    <w:rsid w:val="008F643E"/>
    <w:rsid w:val="008F7850"/>
    <w:rsid w:val="008F78C4"/>
    <w:rsid w:val="009007A2"/>
    <w:rsid w:val="0090200E"/>
    <w:rsid w:val="00902306"/>
    <w:rsid w:val="00903B0C"/>
    <w:rsid w:val="009041F1"/>
    <w:rsid w:val="00904866"/>
    <w:rsid w:val="009111A3"/>
    <w:rsid w:val="00912129"/>
    <w:rsid w:val="00915429"/>
    <w:rsid w:val="009160F6"/>
    <w:rsid w:val="00917CA6"/>
    <w:rsid w:val="00924D9F"/>
    <w:rsid w:val="009301A9"/>
    <w:rsid w:val="0093055C"/>
    <w:rsid w:val="00933F95"/>
    <w:rsid w:val="00936CE3"/>
    <w:rsid w:val="009405A3"/>
    <w:rsid w:val="00942897"/>
    <w:rsid w:val="00943CB4"/>
    <w:rsid w:val="00943F15"/>
    <w:rsid w:val="00945772"/>
    <w:rsid w:val="009509ED"/>
    <w:rsid w:val="00952042"/>
    <w:rsid w:val="00953002"/>
    <w:rsid w:val="0095398D"/>
    <w:rsid w:val="00954181"/>
    <w:rsid w:val="009541E4"/>
    <w:rsid w:val="00954257"/>
    <w:rsid w:val="00956D2E"/>
    <w:rsid w:val="00957055"/>
    <w:rsid w:val="00960563"/>
    <w:rsid w:val="00961F9F"/>
    <w:rsid w:val="00962D1C"/>
    <w:rsid w:val="00966BFB"/>
    <w:rsid w:val="00967953"/>
    <w:rsid w:val="00971198"/>
    <w:rsid w:val="009717EE"/>
    <w:rsid w:val="00972ECE"/>
    <w:rsid w:val="00973247"/>
    <w:rsid w:val="009750EB"/>
    <w:rsid w:val="00975BD9"/>
    <w:rsid w:val="00976625"/>
    <w:rsid w:val="009809CB"/>
    <w:rsid w:val="00980B38"/>
    <w:rsid w:val="00980C7C"/>
    <w:rsid w:val="00981D7B"/>
    <w:rsid w:val="0098205B"/>
    <w:rsid w:val="009822A7"/>
    <w:rsid w:val="009828C1"/>
    <w:rsid w:val="009837D4"/>
    <w:rsid w:val="00983D48"/>
    <w:rsid w:val="00983DC1"/>
    <w:rsid w:val="009859B5"/>
    <w:rsid w:val="00986021"/>
    <w:rsid w:val="00986DEF"/>
    <w:rsid w:val="00987F95"/>
    <w:rsid w:val="00991F9A"/>
    <w:rsid w:val="00992D9E"/>
    <w:rsid w:val="00994893"/>
    <w:rsid w:val="009953F9"/>
    <w:rsid w:val="00997B19"/>
    <w:rsid w:val="009A05B7"/>
    <w:rsid w:val="009A05C9"/>
    <w:rsid w:val="009A187E"/>
    <w:rsid w:val="009A50C2"/>
    <w:rsid w:val="009A53BC"/>
    <w:rsid w:val="009A6E82"/>
    <w:rsid w:val="009A7294"/>
    <w:rsid w:val="009B1027"/>
    <w:rsid w:val="009B15E1"/>
    <w:rsid w:val="009B3878"/>
    <w:rsid w:val="009B4462"/>
    <w:rsid w:val="009B69B7"/>
    <w:rsid w:val="009B7455"/>
    <w:rsid w:val="009B7C4B"/>
    <w:rsid w:val="009C396A"/>
    <w:rsid w:val="009C4764"/>
    <w:rsid w:val="009D0FA0"/>
    <w:rsid w:val="009D414D"/>
    <w:rsid w:val="009D489E"/>
    <w:rsid w:val="009D5B8D"/>
    <w:rsid w:val="009D7189"/>
    <w:rsid w:val="009E1599"/>
    <w:rsid w:val="009E2EB2"/>
    <w:rsid w:val="009E47A7"/>
    <w:rsid w:val="009E5087"/>
    <w:rsid w:val="009E5853"/>
    <w:rsid w:val="009E5F97"/>
    <w:rsid w:val="009E6084"/>
    <w:rsid w:val="009E7E21"/>
    <w:rsid w:val="009F1146"/>
    <w:rsid w:val="009F2405"/>
    <w:rsid w:val="009F26E3"/>
    <w:rsid w:val="009F2F45"/>
    <w:rsid w:val="009F3886"/>
    <w:rsid w:val="00A037CD"/>
    <w:rsid w:val="00A0492B"/>
    <w:rsid w:val="00A0578D"/>
    <w:rsid w:val="00A1152D"/>
    <w:rsid w:val="00A1182F"/>
    <w:rsid w:val="00A11D3E"/>
    <w:rsid w:val="00A123E5"/>
    <w:rsid w:val="00A171F8"/>
    <w:rsid w:val="00A17EFC"/>
    <w:rsid w:val="00A2078F"/>
    <w:rsid w:val="00A234D8"/>
    <w:rsid w:val="00A235DF"/>
    <w:rsid w:val="00A240EA"/>
    <w:rsid w:val="00A25686"/>
    <w:rsid w:val="00A26406"/>
    <w:rsid w:val="00A26831"/>
    <w:rsid w:val="00A274D6"/>
    <w:rsid w:val="00A3031A"/>
    <w:rsid w:val="00A307D7"/>
    <w:rsid w:val="00A33111"/>
    <w:rsid w:val="00A332DF"/>
    <w:rsid w:val="00A33C70"/>
    <w:rsid w:val="00A35224"/>
    <w:rsid w:val="00A35CDA"/>
    <w:rsid w:val="00A366C3"/>
    <w:rsid w:val="00A367A7"/>
    <w:rsid w:val="00A4086B"/>
    <w:rsid w:val="00A40D9C"/>
    <w:rsid w:val="00A41D1B"/>
    <w:rsid w:val="00A44278"/>
    <w:rsid w:val="00A4458B"/>
    <w:rsid w:val="00A44B7E"/>
    <w:rsid w:val="00A465C2"/>
    <w:rsid w:val="00A47AE3"/>
    <w:rsid w:val="00A50728"/>
    <w:rsid w:val="00A52BFB"/>
    <w:rsid w:val="00A532DC"/>
    <w:rsid w:val="00A5603E"/>
    <w:rsid w:val="00A57600"/>
    <w:rsid w:val="00A601F4"/>
    <w:rsid w:val="00A60FD1"/>
    <w:rsid w:val="00A61122"/>
    <w:rsid w:val="00A61299"/>
    <w:rsid w:val="00A6180C"/>
    <w:rsid w:val="00A634F4"/>
    <w:rsid w:val="00A63F2F"/>
    <w:rsid w:val="00A707B7"/>
    <w:rsid w:val="00A70985"/>
    <w:rsid w:val="00A70FE7"/>
    <w:rsid w:val="00A77C0B"/>
    <w:rsid w:val="00A8139E"/>
    <w:rsid w:val="00A8286F"/>
    <w:rsid w:val="00A82D83"/>
    <w:rsid w:val="00A8484D"/>
    <w:rsid w:val="00A85DC7"/>
    <w:rsid w:val="00A9079B"/>
    <w:rsid w:val="00A911F3"/>
    <w:rsid w:val="00A929C8"/>
    <w:rsid w:val="00A948B5"/>
    <w:rsid w:val="00A94939"/>
    <w:rsid w:val="00A9743E"/>
    <w:rsid w:val="00A97A63"/>
    <w:rsid w:val="00A97E38"/>
    <w:rsid w:val="00AA0B61"/>
    <w:rsid w:val="00AA1560"/>
    <w:rsid w:val="00AA1D58"/>
    <w:rsid w:val="00AA2B51"/>
    <w:rsid w:val="00AA3366"/>
    <w:rsid w:val="00AA3923"/>
    <w:rsid w:val="00AA41D4"/>
    <w:rsid w:val="00AA59A2"/>
    <w:rsid w:val="00AB0CEF"/>
    <w:rsid w:val="00AB26F8"/>
    <w:rsid w:val="00AC00EB"/>
    <w:rsid w:val="00AC1D9B"/>
    <w:rsid w:val="00AC1DBA"/>
    <w:rsid w:val="00AC2B6D"/>
    <w:rsid w:val="00AC4CC0"/>
    <w:rsid w:val="00AC660D"/>
    <w:rsid w:val="00AD2EBE"/>
    <w:rsid w:val="00AD604C"/>
    <w:rsid w:val="00AD7E4E"/>
    <w:rsid w:val="00AE1C98"/>
    <w:rsid w:val="00AE1E98"/>
    <w:rsid w:val="00AE3145"/>
    <w:rsid w:val="00AE3E58"/>
    <w:rsid w:val="00AE54EB"/>
    <w:rsid w:val="00AE5D7E"/>
    <w:rsid w:val="00AE61D2"/>
    <w:rsid w:val="00AE78F8"/>
    <w:rsid w:val="00AE7BC4"/>
    <w:rsid w:val="00AF496A"/>
    <w:rsid w:val="00AF5362"/>
    <w:rsid w:val="00AF7BAD"/>
    <w:rsid w:val="00AF7BEE"/>
    <w:rsid w:val="00B01BC8"/>
    <w:rsid w:val="00B031F7"/>
    <w:rsid w:val="00B03DC3"/>
    <w:rsid w:val="00B051A9"/>
    <w:rsid w:val="00B052B1"/>
    <w:rsid w:val="00B05A67"/>
    <w:rsid w:val="00B05C71"/>
    <w:rsid w:val="00B060B5"/>
    <w:rsid w:val="00B06143"/>
    <w:rsid w:val="00B10B66"/>
    <w:rsid w:val="00B10E33"/>
    <w:rsid w:val="00B11238"/>
    <w:rsid w:val="00B1188E"/>
    <w:rsid w:val="00B149D9"/>
    <w:rsid w:val="00B157E6"/>
    <w:rsid w:val="00B1691B"/>
    <w:rsid w:val="00B16E81"/>
    <w:rsid w:val="00B1791F"/>
    <w:rsid w:val="00B21A32"/>
    <w:rsid w:val="00B24071"/>
    <w:rsid w:val="00B279EA"/>
    <w:rsid w:val="00B30169"/>
    <w:rsid w:val="00B30F43"/>
    <w:rsid w:val="00B325EB"/>
    <w:rsid w:val="00B32709"/>
    <w:rsid w:val="00B32F90"/>
    <w:rsid w:val="00B33398"/>
    <w:rsid w:val="00B35A1A"/>
    <w:rsid w:val="00B37F86"/>
    <w:rsid w:val="00B42251"/>
    <w:rsid w:val="00B42D38"/>
    <w:rsid w:val="00B42EA9"/>
    <w:rsid w:val="00B43423"/>
    <w:rsid w:val="00B442F7"/>
    <w:rsid w:val="00B44A42"/>
    <w:rsid w:val="00B46E38"/>
    <w:rsid w:val="00B50D25"/>
    <w:rsid w:val="00B5140E"/>
    <w:rsid w:val="00B51D8B"/>
    <w:rsid w:val="00B5355E"/>
    <w:rsid w:val="00B53A7F"/>
    <w:rsid w:val="00B54EE9"/>
    <w:rsid w:val="00B60BD5"/>
    <w:rsid w:val="00B62138"/>
    <w:rsid w:val="00B62991"/>
    <w:rsid w:val="00B650B8"/>
    <w:rsid w:val="00B661F8"/>
    <w:rsid w:val="00B679BB"/>
    <w:rsid w:val="00B72FAB"/>
    <w:rsid w:val="00B75DD0"/>
    <w:rsid w:val="00B76DB2"/>
    <w:rsid w:val="00B77126"/>
    <w:rsid w:val="00B7718F"/>
    <w:rsid w:val="00B801D9"/>
    <w:rsid w:val="00B82F19"/>
    <w:rsid w:val="00B831E5"/>
    <w:rsid w:val="00B832FC"/>
    <w:rsid w:val="00B83C84"/>
    <w:rsid w:val="00B87B50"/>
    <w:rsid w:val="00B91B0A"/>
    <w:rsid w:val="00B91D89"/>
    <w:rsid w:val="00B92882"/>
    <w:rsid w:val="00B974A5"/>
    <w:rsid w:val="00B974CA"/>
    <w:rsid w:val="00BA1878"/>
    <w:rsid w:val="00BA3636"/>
    <w:rsid w:val="00BA3951"/>
    <w:rsid w:val="00BA5260"/>
    <w:rsid w:val="00BA5766"/>
    <w:rsid w:val="00BA5E39"/>
    <w:rsid w:val="00BB6786"/>
    <w:rsid w:val="00BB74B0"/>
    <w:rsid w:val="00BB76FF"/>
    <w:rsid w:val="00BC0548"/>
    <w:rsid w:val="00BC6CC6"/>
    <w:rsid w:val="00BD0672"/>
    <w:rsid w:val="00BD0FF3"/>
    <w:rsid w:val="00BD3F34"/>
    <w:rsid w:val="00BD4F00"/>
    <w:rsid w:val="00BD64C3"/>
    <w:rsid w:val="00BD709E"/>
    <w:rsid w:val="00BE0448"/>
    <w:rsid w:val="00BE2117"/>
    <w:rsid w:val="00BE3035"/>
    <w:rsid w:val="00BE606F"/>
    <w:rsid w:val="00BE680A"/>
    <w:rsid w:val="00BE746A"/>
    <w:rsid w:val="00BF0998"/>
    <w:rsid w:val="00BF408F"/>
    <w:rsid w:val="00BF4E37"/>
    <w:rsid w:val="00BF67B3"/>
    <w:rsid w:val="00C01715"/>
    <w:rsid w:val="00C01995"/>
    <w:rsid w:val="00C01D8A"/>
    <w:rsid w:val="00C025AD"/>
    <w:rsid w:val="00C02613"/>
    <w:rsid w:val="00C03FB0"/>
    <w:rsid w:val="00C07524"/>
    <w:rsid w:val="00C07D60"/>
    <w:rsid w:val="00C11B90"/>
    <w:rsid w:val="00C11C69"/>
    <w:rsid w:val="00C16E82"/>
    <w:rsid w:val="00C17752"/>
    <w:rsid w:val="00C20892"/>
    <w:rsid w:val="00C21A27"/>
    <w:rsid w:val="00C22263"/>
    <w:rsid w:val="00C22F9A"/>
    <w:rsid w:val="00C23849"/>
    <w:rsid w:val="00C23E74"/>
    <w:rsid w:val="00C25E25"/>
    <w:rsid w:val="00C27B10"/>
    <w:rsid w:val="00C27BDE"/>
    <w:rsid w:val="00C33319"/>
    <w:rsid w:val="00C4081C"/>
    <w:rsid w:val="00C41236"/>
    <w:rsid w:val="00C4233B"/>
    <w:rsid w:val="00C4286D"/>
    <w:rsid w:val="00C43182"/>
    <w:rsid w:val="00C4452C"/>
    <w:rsid w:val="00C458EA"/>
    <w:rsid w:val="00C46376"/>
    <w:rsid w:val="00C4662B"/>
    <w:rsid w:val="00C501AA"/>
    <w:rsid w:val="00C50B68"/>
    <w:rsid w:val="00C50F9B"/>
    <w:rsid w:val="00C51FC3"/>
    <w:rsid w:val="00C57589"/>
    <w:rsid w:val="00C57A76"/>
    <w:rsid w:val="00C629F1"/>
    <w:rsid w:val="00C66892"/>
    <w:rsid w:val="00C675E3"/>
    <w:rsid w:val="00C705C6"/>
    <w:rsid w:val="00C727FF"/>
    <w:rsid w:val="00C73541"/>
    <w:rsid w:val="00C74464"/>
    <w:rsid w:val="00C74F21"/>
    <w:rsid w:val="00C75399"/>
    <w:rsid w:val="00C75638"/>
    <w:rsid w:val="00C76EAA"/>
    <w:rsid w:val="00C77538"/>
    <w:rsid w:val="00C800CC"/>
    <w:rsid w:val="00C801B0"/>
    <w:rsid w:val="00C80C54"/>
    <w:rsid w:val="00C82713"/>
    <w:rsid w:val="00C82AFB"/>
    <w:rsid w:val="00C843E2"/>
    <w:rsid w:val="00C85A29"/>
    <w:rsid w:val="00C85ACB"/>
    <w:rsid w:val="00C926BC"/>
    <w:rsid w:val="00C9598C"/>
    <w:rsid w:val="00C9620C"/>
    <w:rsid w:val="00C972F5"/>
    <w:rsid w:val="00C97732"/>
    <w:rsid w:val="00CA0A44"/>
    <w:rsid w:val="00CA2881"/>
    <w:rsid w:val="00CA3E61"/>
    <w:rsid w:val="00CA4523"/>
    <w:rsid w:val="00CA5D28"/>
    <w:rsid w:val="00CA73F9"/>
    <w:rsid w:val="00CA791C"/>
    <w:rsid w:val="00CA7CC3"/>
    <w:rsid w:val="00CA7E68"/>
    <w:rsid w:val="00CA7F3A"/>
    <w:rsid w:val="00CB0B04"/>
    <w:rsid w:val="00CB2369"/>
    <w:rsid w:val="00CB236A"/>
    <w:rsid w:val="00CB2EA5"/>
    <w:rsid w:val="00CB6EA9"/>
    <w:rsid w:val="00CB7B7A"/>
    <w:rsid w:val="00CC176E"/>
    <w:rsid w:val="00CC218B"/>
    <w:rsid w:val="00CC2509"/>
    <w:rsid w:val="00CC3BDC"/>
    <w:rsid w:val="00CC47F6"/>
    <w:rsid w:val="00CC4B0C"/>
    <w:rsid w:val="00CC4BE7"/>
    <w:rsid w:val="00CC6BAC"/>
    <w:rsid w:val="00CD173C"/>
    <w:rsid w:val="00CD24C4"/>
    <w:rsid w:val="00CD3EA1"/>
    <w:rsid w:val="00CD65EE"/>
    <w:rsid w:val="00CD68B1"/>
    <w:rsid w:val="00CD72BF"/>
    <w:rsid w:val="00CE2BDB"/>
    <w:rsid w:val="00CE30A7"/>
    <w:rsid w:val="00CE42EE"/>
    <w:rsid w:val="00CE60AC"/>
    <w:rsid w:val="00CF0A48"/>
    <w:rsid w:val="00CF4592"/>
    <w:rsid w:val="00CF51F0"/>
    <w:rsid w:val="00CF6788"/>
    <w:rsid w:val="00D01791"/>
    <w:rsid w:val="00D028C2"/>
    <w:rsid w:val="00D02DA5"/>
    <w:rsid w:val="00D06CC7"/>
    <w:rsid w:val="00D106DD"/>
    <w:rsid w:val="00D13786"/>
    <w:rsid w:val="00D20827"/>
    <w:rsid w:val="00D21C4F"/>
    <w:rsid w:val="00D24D8F"/>
    <w:rsid w:val="00D271C3"/>
    <w:rsid w:val="00D27B99"/>
    <w:rsid w:val="00D30527"/>
    <w:rsid w:val="00D309EE"/>
    <w:rsid w:val="00D30EF8"/>
    <w:rsid w:val="00D36398"/>
    <w:rsid w:val="00D421EE"/>
    <w:rsid w:val="00D42E34"/>
    <w:rsid w:val="00D42F16"/>
    <w:rsid w:val="00D42F4E"/>
    <w:rsid w:val="00D434D2"/>
    <w:rsid w:val="00D44B6A"/>
    <w:rsid w:val="00D44F68"/>
    <w:rsid w:val="00D46BBA"/>
    <w:rsid w:val="00D50E61"/>
    <w:rsid w:val="00D52EF0"/>
    <w:rsid w:val="00D57850"/>
    <w:rsid w:val="00D57F23"/>
    <w:rsid w:val="00D61FFA"/>
    <w:rsid w:val="00D64EA1"/>
    <w:rsid w:val="00D66E2B"/>
    <w:rsid w:val="00D67B63"/>
    <w:rsid w:val="00D70D3B"/>
    <w:rsid w:val="00D73B33"/>
    <w:rsid w:val="00D74F46"/>
    <w:rsid w:val="00D755AA"/>
    <w:rsid w:val="00D806B9"/>
    <w:rsid w:val="00D855AA"/>
    <w:rsid w:val="00D85A40"/>
    <w:rsid w:val="00D8656E"/>
    <w:rsid w:val="00D86645"/>
    <w:rsid w:val="00D91E82"/>
    <w:rsid w:val="00D929C1"/>
    <w:rsid w:val="00D939C2"/>
    <w:rsid w:val="00D93B6E"/>
    <w:rsid w:val="00D96155"/>
    <w:rsid w:val="00D97CF2"/>
    <w:rsid w:val="00DA1BC4"/>
    <w:rsid w:val="00DA3D84"/>
    <w:rsid w:val="00DA5636"/>
    <w:rsid w:val="00DA76C8"/>
    <w:rsid w:val="00DA7BFE"/>
    <w:rsid w:val="00DB4A4B"/>
    <w:rsid w:val="00DB510C"/>
    <w:rsid w:val="00DB552C"/>
    <w:rsid w:val="00DB6345"/>
    <w:rsid w:val="00DB7140"/>
    <w:rsid w:val="00DC014F"/>
    <w:rsid w:val="00DC2F4C"/>
    <w:rsid w:val="00DC300E"/>
    <w:rsid w:val="00DC3D27"/>
    <w:rsid w:val="00DC4E4A"/>
    <w:rsid w:val="00DC6E93"/>
    <w:rsid w:val="00DD004E"/>
    <w:rsid w:val="00DD0C91"/>
    <w:rsid w:val="00DD0D24"/>
    <w:rsid w:val="00DD385E"/>
    <w:rsid w:val="00DD3B63"/>
    <w:rsid w:val="00DD537E"/>
    <w:rsid w:val="00DD678E"/>
    <w:rsid w:val="00DD7A67"/>
    <w:rsid w:val="00DE41AD"/>
    <w:rsid w:val="00DE7968"/>
    <w:rsid w:val="00DE7B2D"/>
    <w:rsid w:val="00DE7F64"/>
    <w:rsid w:val="00DF16EC"/>
    <w:rsid w:val="00DF1868"/>
    <w:rsid w:val="00DF1D8C"/>
    <w:rsid w:val="00DF2081"/>
    <w:rsid w:val="00DF2A99"/>
    <w:rsid w:val="00DF37A9"/>
    <w:rsid w:val="00DF3B45"/>
    <w:rsid w:val="00DF5394"/>
    <w:rsid w:val="00DF6BC2"/>
    <w:rsid w:val="00E0086A"/>
    <w:rsid w:val="00E00C4A"/>
    <w:rsid w:val="00E010C1"/>
    <w:rsid w:val="00E027C9"/>
    <w:rsid w:val="00E0404D"/>
    <w:rsid w:val="00E06D2A"/>
    <w:rsid w:val="00E075AE"/>
    <w:rsid w:val="00E07D99"/>
    <w:rsid w:val="00E1149D"/>
    <w:rsid w:val="00E11967"/>
    <w:rsid w:val="00E128DF"/>
    <w:rsid w:val="00E12959"/>
    <w:rsid w:val="00E12A2A"/>
    <w:rsid w:val="00E12EE2"/>
    <w:rsid w:val="00E13F74"/>
    <w:rsid w:val="00E15B00"/>
    <w:rsid w:val="00E201B5"/>
    <w:rsid w:val="00E20BE2"/>
    <w:rsid w:val="00E25018"/>
    <w:rsid w:val="00E25737"/>
    <w:rsid w:val="00E30F21"/>
    <w:rsid w:val="00E32929"/>
    <w:rsid w:val="00E32930"/>
    <w:rsid w:val="00E354D3"/>
    <w:rsid w:val="00E35CEF"/>
    <w:rsid w:val="00E41D3A"/>
    <w:rsid w:val="00E4320D"/>
    <w:rsid w:val="00E43B8D"/>
    <w:rsid w:val="00E45843"/>
    <w:rsid w:val="00E45E93"/>
    <w:rsid w:val="00E51D13"/>
    <w:rsid w:val="00E520E5"/>
    <w:rsid w:val="00E52626"/>
    <w:rsid w:val="00E53E0C"/>
    <w:rsid w:val="00E55217"/>
    <w:rsid w:val="00E55B38"/>
    <w:rsid w:val="00E5776F"/>
    <w:rsid w:val="00E6033C"/>
    <w:rsid w:val="00E62299"/>
    <w:rsid w:val="00E62A4A"/>
    <w:rsid w:val="00E63CE2"/>
    <w:rsid w:val="00E64082"/>
    <w:rsid w:val="00E65029"/>
    <w:rsid w:val="00E70D23"/>
    <w:rsid w:val="00E71986"/>
    <w:rsid w:val="00E75CB7"/>
    <w:rsid w:val="00E760E2"/>
    <w:rsid w:val="00E76882"/>
    <w:rsid w:val="00E76909"/>
    <w:rsid w:val="00E76F58"/>
    <w:rsid w:val="00E77384"/>
    <w:rsid w:val="00E80B84"/>
    <w:rsid w:val="00E80C8A"/>
    <w:rsid w:val="00E80DE6"/>
    <w:rsid w:val="00E84BEF"/>
    <w:rsid w:val="00E85415"/>
    <w:rsid w:val="00E855A2"/>
    <w:rsid w:val="00E87AB0"/>
    <w:rsid w:val="00E92ADC"/>
    <w:rsid w:val="00E943DA"/>
    <w:rsid w:val="00E9519F"/>
    <w:rsid w:val="00E95230"/>
    <w:rsid w:val="00EA0980"/>
    <w:rsid w:val="00EA13CE"/>
    <w:rsid w:val="00EA27FB"/>
    <w:rsid w:val="00EA2836"/>
    <w:rsid w:val="00EA507B"/>
    <w:rsid w:val="00EB1E6E"/>
    <w:rsid w:val="00EB230F"/>
    <w:rsid w:val="00EB4906"/>
    <w:rsid w:val="00EB4B36"/>
    <w:rsid w:val="00EB5D3F"/>
    <w:rsid w:val="00EB7E06"/>
    <w:rsid w:val="00EC02DD"/>
    <w:rsid w:val="00EC0463"/>
    <w:rsid w:val="00EC125D"/>
    <w:rsid w:val="00EC2732"/>
    <w:rsid w:val="00EC5844"/>
    <w:rsid w:val="00EC6F26"/>
    <w:rsid w:val="00ED608C"/>
    <w:rsid w:val="00ED6207"/>
    <w:rsid w:val="00EE1086"/>
    <w:rsid w:val="00EF083B"/>
    <w:rsid w:val="00EF3987"/>
    <w:rsid w:val="00EF3C01"/>
    <w:rsid w:val="00EF5DDD"/>
    <w:rsid w:val="00EF776F"/>
    <w:rsid w:val="00F01EF5"/>
    <w:rsid w:val="00F041E4"/>
    <w:rsid w:val="00F045B7"/>
    <w:rsid w:val="00F066E3"/>
    <w:rsid w:val="00F11C61"/>
    <w:rsid w:val="00F13289"/>
    <w:rsid w:val="00F13DA2"/>
    <w:rsid w:val="00F14DB2"/>
    <w:rsid w:val="00F15BC0"/>
    <w:rsid w:val="00F15D3F"/>
    <w:rsid w:val="00F21256"/>
    <w:rsid w:val="00F23AE7"/>
    <w:rsid w:val="00F24150"/>
    <w:rsid w:val="00F2425A"/>
    <w:rsid w:val="00F26B06"/>
    <w:rsid w:val="00F278B8"/>
    <w:rsid w:val="00F30BBE"/>
    <w:rsid w:val="00F30DF5"/>
    <w:rsid w:val="00F3108B"/>
    <w:rsid w:val="00F31757"/>
    <w:rsid w:val="00F33B4F"/>
    <w:rsid w:val="00F3489C"/>
    <w:rsid w:val="00F34D66"/>
    <w:rsid w:val="00F37E0B"/>
    <w:rsid w:val="00F37F8C"/>
    <w:rsid w:val="00F40DD3"/>
    <w:rsid w:val="00F41B2C"/>
    <w:rsid w:val="00F46F5A"/>
    <w:rsid w:val="00F4769E"/>
    <w:rsid w:val="00F50970"/>
    <w:rsid w:val="00F534F7"/>
    <w:rsid w:val="00F53B53"/>
    <w:rsid w:val="00F563A2"/>
    <w:rsid w:val="00F57149"/>
    <w:rsid w:val="00F65DB4"/>
    <w:rsid w:val="00F66C98"/>
    <w:rsid w:val="00F7126B"/>
    <w:rsid w:val="00F71A82"/>
    <w:rsid w:val="00F72420"/>
    <w:rsid w:val="00F73163"/>
    <w:rsid w:val="00F7398A"/>
    <w:rsid w:val="00F80A68"/>
    <w:rsid w:val="00F818E6"/>
    <w:rsid w:val="00F82BFC"/>
    <w:rsid w:val="00F845EB"/>
    <w:rsid w:val="00F84A28"/>
    <w:rsid w:val="00F865CA"/>
    <w:rsid w:val="00F87A7F"/>
    <w:rsid w:val="00F87AA2"/>
    <w:rsid w:val="00F91C49"/>
    <w:rsid w:val="00F94A2C"/>
    <w:rsid w:val="00F95733"/>
    <w:rsid w:val="00F978BA"/>
    <w:rsid w:val="00FA2DE2"/>
    <w:rsid w:val="00FA397A"/>
    <w:rsid w:val="00FA3F33"/>
    <w:rsid w:val="00FA4199"/>
    <w:rsid w:val="00FA4EC0"/>
    <w:rsid w:val="00FA5E5C"/>
    <w:rsid w:val="00FA788E"/>
    <w:rsid w:val="00FA7E81"/>
    <w:rsid w:val="00FB13FD"/>
    <w:rsid w:val="00FB4007"/>
    <w:rsid w:val="00FB6611"/>
    <w:rsid w:val="00FB7CB6"/>
    <w:rsid w:val="00FC0D78"/>
    <w:rsid w:val="00FC21FE"/>
    <w:rsid w:val="00FC2DC4"/>
    <w:rsid w:val="00FD07D0"/>
    <w:rsid w:val="00FD195D"/>
    <w:rsid w:val="00FD1C2D"/>
    <w:rsid w:val="00FD636C"/>
    <w:rsid w:val="00FD64F1"/>
    <w:rsid w:val="00FE05C2"/>
    <w:rsid w:val="00FE187D"/>
    <w:rsid w:val="00FE241F"/>
    <w:rsid w:val="00FE40AB"/>
    <w:rsid w:val="00FE5F09"/>
    <w:rsid w:val="00FE6759"/>
    <w:rsid w:val="00FE73B6"/>
    <w:rsid w:val="00FE76F7"/>
    <w:rsid w:val="00FF370F"/>
    <w:rsid w:val="00FF514D"/>
    <w:rsid w:val="00FF535E"/>
    <w:rsid w:val="00FF5981"/>
    <w:rsid w:val="00FF7009"/>
    <w:rsid w:val="00FF7108"/>
    <w:rsid w:val="00FF7B6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41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semiHidden="0" w:uiPriority="9" w:unhideWhenUsed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74DF8"/>
    <w:pPr>
      <w:overflowPunct w:val="0"/>
      <w:autoSpaceDE w:val="0"/>
      <w:autoSpaceDN w:val="0"/>
      <w:adjustRightInd w:val="0"/>
      <w:textAlignment w:val="baseline"/>
    </w:pPr>
  </w:style>
  <w:style w:type="paragraph" w:styleId="Heading1">
    <w:name w:val="heading 1"/>
    <w:basedOn w:val="Normal"/>
    <w:next w:val="Normal"/>
    <w:qFormat/>
    <w:rsid w:val="00374DF8"/>
    <w:pPr>
      <w:keepNext/>
      <w:tabs>
        <w:tab w:val="left" w:pos="284"/>
      </w:tabs>
      <w:ind w:left="284"/>
      <w:jc w:val="both"/>
      <w:outlineLvl w:val="0"/>
    </w:pPr>
    <w:rPr>
      <w:rFonts w:cs="Simplified Arabic"/>
      <w:b/>
      <w:bCs/>
      <w:i/>
      <w:iCs/>
      <w:sz w:val="18"/>
      <w:szCs w:val="18"/>
    </w:rPr>
  </w:style>
  <w:style w:type="paragraph" w:styleId="Heading2">
    <w:name w:val="heading 2"/>
    <w:basedOn w:val="Normal"/>
    <w:next w:val="Normal"/>
    <w:qFormat/>
    <w:rsid w:val="00374DF8"/>
    <w:pPr>
      <w:keepNext/>
      <w:jc w:val="both"/>
      <w:outlineLvl w:val="1"/>
    </w:pPr>
    <w:rPr>
      <w:b/>
      <w:bCs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45C45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11FD7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qFormat/>
    <w:rsid w:val="00374DF8"/>
    <w:pPr>
      <w:keepNext/>
      <w:overflowPunct/>
      <w:autoSpaceDE/>
      <w:autoSpaceDN/>
      <w:bidi/>
      <w:adjustRightInd/>
      <w:jc w:val="center"/>
      <w:textAlignment w:val="auto"/>
      <w:outlineLvl w:val="5"/>
    </w:pPr>
    <w:rPr>
      <w:rFonts w:cs="Simplified Arabic"/>
      <w:b/>
      <w:bCs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96F32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065B2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065B2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semiHidden/>
    <w:rsid w:val="00374DF8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rsid w:val="00374DF8"/>
    <w:pPr>
      <w:tabs>
        <w:tab w:val="center" w:pos="4153"/>
        <w:tab w:val="right" w:pos="8306"/>
      </w:tabs>
    </w:pPr>
  </w:style>
  <w:style w:type="paragraph" w:styleId="BodyTextIndent">
    <w:name w:val="Body Text Indent"/>
    <w:basedOn w:val="Normal"/>
    <w:link w:val="BodyTextIndentChar"/>
    <w:semiHidden/>
    <w:rsid w:val="00374DF8"/>
    <w:pPr>
      <w:overflowPunct/>
      <w:autoSpaceDE/>
      <w:autoSpaceDN/>
      <w:bidi/>
      <w:adjustRightInd/>
      <w:ind w:hanging="1"/>
      <w:jc w:val="lowKashida"/>
      <w:textAlignment w:val="auto"/>
    </w:pPr>
    <w:rPr>
      <w:rFonts w:cs="Simplified Arabic"/>
    </w:rPr>
  </w:style>
  <w:style w:type="character" w:styleId="FootnoteReference">
    <w:name w:val="footnote reference"/>
    <w:basedOn w:val="DefaultParagraphFont"/>
    <w:semiHidden/>
    <w:rsid w:val="00374DF8"/>
    <w:rPr>
      <w:vertAlign w:val="superscript"/>
    </w:rPr>
  </w:style>
  <w:style w:type="paragraph" w:styleId="BodyTextIndent2">
    <w:name w:val="Body Text Indent 2"/>
    <w:basedOn w:val="Normal"/>
    <w:semiHidden/>
    <w:rsid w:val="00374DF8"/>
    <w:pPr>
      <w:numPr>
        <w:ilvl w:val="12"/>
      </w:numPr>
      <w:overflowPunct/>
      <w:autoSpaceDE/>
      <w:autoSpaceDN/>
      <w:adjustRightInd/>
      <w:ind w:left="142"/>
      <w:jc w:val="lowKashida"/>
      <w:textAlignment w:val="auto"/>
    </w:pPr>
    <w:rPr>
      <w:rFonts w:cs="Traditional Arabic"/>
      <w:sz w:val="24"/>
    </w:rPr>
  </w:style>
  <w:style w:type="paragraph" w:styleId="BodyText2">
    <w:name w:val="Body Text 2"/>
    <w:basedOn w:val="Normal"/>
    <w:link w:val="BodyText2Char"/>
    <w:semiHidden/>
    <w:rsid w:val="00374DF8"/>
    <w:pPr>
      <w:overflowPunct/>
      <w:autoSpaceDE/>
      <w:autoSpaceDN/>
      <w:bidi/>
      <w:adjustRightInd/>
      <w:jc w:val="lowKashida"/>
      <w:textAlignment w:val="auto"/>
    </w:pPr>
    <w:rPr>
      <w:rFonts w:cs="Simplified Arabic"/>
    </w:rPr>
  </w:style>
  <w:style w:type="paragraph" w:styleId="FootnoteText">
    <w:name w:val="footnote text"/>
    <w:basedOn w:val="Normal"/>
    <w:semiHidden/>
    <w:rsid w:val="00374DF8"/>
    <w:pPr>
      <w:overflowPunct/>
      <w:autoSpaceDE/>
      <w:autoSpaceDN/>
      <w:bidi/>
      <w:adjustRightInd/>
      <w:textAlignment w:val="auto"/>
    </w:pPr>
    <w:rPr>
      <w:rFonts w:cs="Traditional Arabic"/>
    </w:rPr>
  </w:style>
  <w:style w:type="paragraph" w:styleId="BodyText">
    <w:name w:val="Body Text"/>
    <w:basedOn w:val="Normal"/>
    <w:semiHidden/>
    <w:rsid w:val="00374DF8"/>
    <w:pPr>
      <w:tabs>
        <w:tab w:val="left" w:pos="0"/>
      </w:tabs>
      <w:overflowPunct/>
      <w:autoSpaceDE/>
      <w:autoSpaceDN/>
      <w:bidi/>
      <w:adjustRightInd/>
      <w:jc w:val="lowKashida"/>
      <w:textAlignment w:val="auto"/>
    </w:pPr>
    <w:rPr>
      <w:rFonts w:cs="Simplified Arabic"/>
    </w:rPr>
  </w:style>
  <w:style w:type="paragraph" w:styleId="Title">
    <w:name w:val="Title"/>
    <w:basedOn w:val="Normal"/>
    <w:link w:val="TitleChar"/>
    <w:qFormat/>
    <w:rsid w:val="00374DF8"/>
    <w:pPr>
      <w:overflowPunct/>
      <w:autoSpaceDE/>
      <w:autoSpaceDN/>
      <w:bidi/>
      <w:adjustRightInd/>
      <w:jc w:val="center"/>
      <w:textAlignment w:val="auto"/>
    </w:pPr>
    <w:rPr>
      <w:rFonts w:cs="Simplified Arabic"/>
      <w:b/>
      <w:bCs/>
    </w:rPr>
  </w:style>
  <w:style w:type="paragraph" w:styleId="BodyTextIndent3">
    <w:name w:val="Body Text Indent 3"/>
    <w:basedOn w:val="Normal"/>
    <w:semiHidden/>
    <w:rsid w:val="00374DF8"/>
    <w:pPr>
      <w:ind w:left="284"/>
    </w:pPr>
  </w:style>
  <w:style w:type="character" w:styleId="PageNumber">
    <w:name w:val="page number"/>
    <w:basedOn w:val="DefaultParagraphFont"/>
    <w:semiHidden/>
    <w:rsid w:val="00374DF8"/>
  </w:style>
  <w:style w:type="paragraph" w:styleId="BodyText3">
    <w:name w:val="Body Text 3"/>
    <w:basedOn w:val="Normal"/>
    <w:semiHidden/>
    <w:rsid w:val="00374DF8"/>
    <w:pPr>
      <w:ind w:right="282"/>
      <w:jc w:val="both"/>
    </w:pPr>
    <w:rPr>
      <w:rFonts w:cs="Simplified Arabic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9722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97225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3E3F51"/>
    <w:pPr>
      <w:ind w:left="720"/>
    </w:pPr>
  </w:style>
  <w:style w:type="character" w:customStyle="1" w:styleId="BodyText2Char">
    <w:name w:val="Body Text 2 Char"/>
    <w:basedOn w:val="DefaultParagraphFont"/>
    <w:link w:val="BodyText2"/>
    <w:semiHidden/>
    <w:rsid w:val="00973247"/>
    <w:rPr>
      <w:rFonts w:cs="Simplified Arabic"/>
    </w:rPr>
  </w:style>
  <w:style w:type="character" w:customStyle="1" w:styleId="longtext">
    <w:name w:val="long_text"/>
    <w:basedOn w:val="DefaultParagraphFont"/>
    <w:rsid w:val="000617B7"/>
  </w:style>
  <w:style w:type="character" w:customStyle="1" w:styleId="hps">
    <w:name w:val="hps"/>
    <w:basedOn w:val="DefaultParagraphFont"/>
    <w:rsid w:val="000617B7"/>
  </w:style>
  <w:style w:type="character" w:customStyle="1" w:styleId="FooterChar">
    <w:name w:val="Footer Char"/>
    <w:basedOn w:val="DefaultParagraphFont"/>
    <w:link w:val="Footer"/>
    <w:uiPriority w:val="99"/>
    <w:rsid w:val="000A4CFE"/>
  </w:style>
  <w:style w:type="character" w:customStyle="1" w:styleId="BodyTextIndentChar">
    <w:name w:val="Body Text Indent Char"/>
    <w:basedOn w:val="DefaultParagraphFont"/>
    <w:link w:val="BodyTextIndent"/>
    <w:semiHidden/>
    <w:rsid w:val="005971FF"/>
    <w:rPr>
      <w:rFonts w:cs="Simplified Arabic"/>
    </w:rPr>
  </w:style>
  <w:style w:type="character" w:customStyle="1" w:styleId="shorttext">
    <w:name w:val="short_text"/>
    <w:basedOn w:val="DefaultParagraphFont"/>
    <w:rsid w:val="00DB6345"/>
  </w:style>
  <w:style w:type="character" w:customStyle="1" w:styleId="TitleChar">
    <w:name w:val="Title Char"/>
    <w:basedOn w:val="DefaultParagraphFont"/>
    <w:link w:val="Title"/>
    <w:locked/>
    <w:rsid w:val="00762BD2"/>
    <w:rPr>
      <w:rFonts w:cs="Simplified Arabic"/>
      <w:b/>
      <w:bCs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96F32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065B2"/>
    <w:rPr>
      <w:rFonts w:asciiTheme="majorHAnsi" w:eastAsiaTheme="majorEastAsia" w:hAnsiTheme="majorHAnsi" w:cstheme="majorBidi"/>
      <w:color w:val="404040" w:themeColor="text1" w:themeTint="BF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065B2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45C45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xl42">
    <w:name w:val="xl42"/>
    <w:basedOn w:val="Normal"/>
    <w:rsid w:val="00917CA6"/>
    <w:pPr>
      <w:pBdr>
        <w:bottom w:val="single" w:sz="4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top"/>
    </w:pPr>
    <w:rPr>
      <w:b/>
      <w:bCs/>
      <w:sz w:val="18"/>
      <w:szCs w:val="18"/>
      <w:lang w:eastAsia="ar-SA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11FD7"/>
    <w:rPr>
      <w:rFonts w:asciiTheme="majorHAnsi" w:eastAsiaTheme="majorEastAsia" w:hAnsiTheme="majorHAnsi" w:cstheme="majorBidi"/>
      <w:color w:val="243F60" w:themeColor="accent1" w:themeShade="7F"/>
    </w:rPr>
  </w:style>
  <w:style w:type="character" w:styleId="CommentReference">
    <w:name w:val="annotation reference"/>
    <w:basedOn w:val="DefaultParagraphFont"/>
    <w:uiPriority w:val="99"/>
    <w:semiHidden/>
    <w:unhideWhenUsed/>
    <w:rsid w:val="00071C8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71C85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71C85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71C8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71C85"/>
    <w:rPr>
      <w:b/>
      <w:bCs/>
    </w:rPr>
  </w:style>
  <w:style w:type="paragraph" w:styleId="Revision">
    <w:name w:val="Revision"/>
    <w:hidden/>
    <w:uiPriority w:val="99"/>
    <w:semiHidden/>
    <w:rsid w:val="005443CC"/>
  </w:style>
  <w:style w:type="character" w:customStyle="1" w:styleId="HeaderChar">
    <w:name w:val="Header Char"/>
    <w:basedOn w:val="DefaultParagraphFont"/>
    <w:link w:val="Header"/>
    <w:semiHidden/>
    <w:rsid w:val="008E0C8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528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84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chart" Target="charts/chart4.xml"/><Relationship Id="rId18" Type="http://schemas.openxmlformats.org/officeDocument/2006/relationships/image" Target="media/image3.jpeg"/><Relationship Id="rId26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chart" Target="charts/chart11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chart" Target="charts/chart8.xml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chart" Target="charts/chart7.xml"/><Relationship Id="rId20" Type="http://schemas.openxmlformats.org/officeDocument/2006/relationships/chart" Target="charts/chart10.xm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3.xml"/><Relationship Id="rId24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chart" Target="charts/chart6.xml"/><Relationship Id="rId23" Type="http://schemas.openxmlformats.org/officeDocument/2006/relationships/header" Target="header1.xml"/><Relationship Id="rId28" Type="http://schemas.openxmlformats.org/officeDocument/2006/relationships/footer" Target="footer3.xml"/><Relationship Id="rId10" Type="http://schemas.openxmlformats.org/officeDocument/2006/relationships/chart" Target="charts/chart2.xml"/><Relationship Id="rId19" Type="http://schemas.openxmlformats.org/officeDocument/2006/relationships/chart" Target="charts/chart9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chart" Target="charts/chart5.xml"/><Relationship Id="rId22" Type="http://schemas.openxmlformats.org/officeDocument/2006/relationships/image" Target="media/image4.jpeg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.xlsx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0.xlsx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4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5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6.xlsx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7.xlsx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8.xlsx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Microsoft_Office_Excel_Worksheet9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1090573012939002"/>
          <c:y val="0.12171969720249488"/>
          <c:w val="0.87245841035120164"/>
          <c:h val="0.61332322492897562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Area  J1</c:v>
                </c:pt>
              </c:strCache>
            </c:strRef>
          </c:tx>
          <c:spPr>
            <a:solidFill>
              <a:srgbClr val="9999FF"/>
            </a:solidFill>
            <a:ln w="12648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-1.1873231679353941E-2"/>
                  <c:y val="-7.1695501500109024E-3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1.2612717263731281E-2"/>
                  <c:y val="-1.7650291339414662E-2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5200441833913713E-2"/>
                  <c:y val="-1.1389730129888581E-2"/>
                </c:manualLayout>
              </c:layout>
              <c:tx>
                <c:rich>
                  <a:bodyPr/>
                  <a:lstStyle/>
                  <a:p>
                    <a:r>
                      <a:rPr lang="en-US" b="0"/>
                      <a:t>1</a:t>
                    </a:r>
                    <a:r>
                      <a:rPr lang="en-US"/>
                      <a:t>6.0</a:t>
                    </a:r>
                  </a:p>
                </c:rich>
              </c:tx>
              <c:dLblPos val="outEnd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4.3929796217858103E-3"/>
                  <c:y val="-2.8013765610732592E-2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297">
                <a:noFill/>
              </a:ln>
            </c:sp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Sheet1!$B$1:$F$1</c:f>
              <c:strCache>
                <c:ptCount val="5"/>
                <c:pt idx="0">
                  <c:v>14-0</c:v>
                </c:pt>
                <c:pt idx="1">
                  <c:v>29-15</c:v>
                </c:pt>
                <c:pt idx="2">
                  <c:v>44-30</c:v>
                </c:pt>
                <c:pt idx="3">
                  <c:v>59-45</c:v>
                </c:pt>
                <c:pt idx="4">
                  <c:v>+60</c:v>
                </c:pt>
              </c:strCache>
            </c:strRef>
          </c:cat>
          <c:val>
            <c:numRef>
              <c:f>Sheet1!$B$2:$F$2</c:f>
              <c:numCache>
                <c:formatCode>General</c:formatCode>
                <c:ptCount val="5"/>
                <c:pt idx="0">
                  <c:v>35.5</c:v>
                </c:pt>
                <c:pt idx="1">
                  <c:v>29.4</c:v>
                </c:pt>
                <c:pt idx="2">
                  <c:v>16</c:v>
                </c:pt>
                <c:pt idx="3">
                  <c:v>12.4</c:v>
                </c:pt>
                <c:pt idx="4">
                  <c:v>6.7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Area  J2</c:v>
                </c:pt>
              </c:strCache>
            </c:strRef>
          </c:tx>
          <c:spPr>
            <a:solidFill>
              <a:srgbClr val="993366"/>
            </a:solidFill>
            <a:ln w="12648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2.9670600353928593E-3"/>
                  <c:y val="-1.4530579214164032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34.6</a:t>
                    </a:r>
                  </a:p>
                </c:rich>
              </c:tx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3.7914561552567877E-4"/>
                  <c:y val="-5.9090595631866895E-3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1.4882787163244681E-3"/>
                  <c:y val="-4.4237395301847124E-3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1.5536223815866381E-2"/>
                  <c:y val="-2.6934484566447155E-2"/>
                </c:manualLayout>
              </c:layout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297">
                <a:noFill/>
              </a:ln>
            </c:sp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Sheet1!$B$1:$F$1</c:f>
              <c:strCache>
                <c:ptCount val="5"/>
                <c:pt idx="0">
                  <c:v>14-0</c:v>
                </c:pt>
                <c:pt idx="1">
                  <c:v>29-15</c:v>
                </c:pt>
                <c:pt idx="2">
                  <c:v>44-30</c:v>
                </c:pt>
                <c:pt idx="3">
                  <c:v>59-45</c:v>
                </c:pt>
                <c:pt idx="4">
                  <c:v>+60</c:v>
                </c:pt>
              </c:strCache>
            </c:strRef>
          </c:cat>
          <c:val>
            <c:numRef>
              <c:f>Sheet1!$B$3:$F$3</c:f>
              <c:numCache>
                <c:formatCode>General</c:formatCode>
                <c:ptCount val="5"/>
                <c:pt idx="0">
                  <c:v>34.5</c:v>
                </c:pt>
                <c:pt idx="1">
                  <c:v>31.2</c:v>
                </c:pt>
                <c:pt idx="2">
                  <c:v>17.2</c:v>
                </c:pt>
                <c:pt idx="3">
                  <c:v>10.5</c:v>
                </c:pt>
                <c:pt idx="4">
                  <c:v>6.5</c:v>
                </c:pt>
              </c:numCache>
            </c:numRef>
          </c:val>
        </c:ser>
        <c:dLbls>
          <c:showVal val="1"/>
        </c:dLbls>
        <c:axId val="82854656"/>
        <c:axId val="82856576"/>
      </c:barChart>
      <c:catAx>
        <c:axId val="82854656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b="1"/>
                </a:pPr>
                <a:r>
                  <a:rPr lang="en-US" b="1"/>
                  <a:t>Age Groups</a:t>
                </a:r>
                <a:endParaRPr lang="ar-SA" b="1"/>
              </a:p>
            </c:rich>
          </c:tx>
          <c:layout>
            <c:manualLayout>
              <c:xMode val="edge"/>
              <c:yMode val="edge"/>
              <c:x val="0.49168207024033561"/>
              <c:y val="0.85897435897435892"/>
            </c:manualLayout>
          </c:layout>
          <c:spPr>
            <a:noFill/>
            <a:ln w="25297">
              <a:noFill/>
            </a:ln>
          </c:spPr>
        </c:title>
        <c:numFmt formatCode="General" sourceLinked="1"/>
        <c:tickLblPos val="nextTo"/>
        <c:spPr>
          <a:ln w="3162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82856576"/>
        <c:crosses val="autoZero"/>
        <c:auto val="1"/>
        <c:lblAlgn val="ctr"/>
        <c:lblOffset val="100"/>
        <c:tickLblSkip val="1"/>
        <c:tickMarkSkip val="1"/>
      </c:catAx>
      <c:valAx>
        <c:axId val="82856576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b="1"/>
                </a:pPr>
                <a:r>
                  <a:rPr lang="en-US" b="1"/>
                  <a:t>Percentage</a:t>
                </a:r>
                <a:endParaRPr lang="ar-SA" b="1"/>
              </a:p>
            </c:rich>
          </c:tx>
          <c:layout>
            <c:manualLayout>
              <c:xMode val="edge"/>
              <c:yMode val="edge"/>
              <c:x val="1.5287153915083573E-2"/>
              <c:y val="0.34057473585033754"/>
            </c:manualLayout>
          </c:layout>
          <c:spPr>
            <a:noFill/>
            <a:ln w="25297">
              <a:noFill/>
            </a:ln>
          </c:spPr>
        </c:title>
        <c:numFmt formatCode="General" sourceLinked="1"/>
        <c:tickLblPos val="nextTo"/>
        <c:spPr>
          <a:ln w="3162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82854656"/>
        <c:crosses val="autoZero"/>
        <c:crossBetween val="between"/>
      </c:valAx>
      <c:spPr>
        <a:noFill/>
        <a:ln w="25297">
          <a:noFill/>
        </a:ln>
      </c:spPr>
    </c:plotArea>
    <c:legend>
      <c:legendPos val="t"/>
      <c:layout>
        <c:manualLayout>
          <c:xMode val="edge"/>
          <c:yMode val="edge"/>
          <c:x val="0.71907745672879975"/>
          <c:y val="4.2735042735042764E-2"/>
          <c:w val="0.23110367441253882"/>
          <c:h val="8.3692963860286865E-2"/>
        </c:manualLayout>
      </c:layout>
      <c:spPr>
        <a:noFill/>
        <a:ln w="3162">
          <a:solidFill>
            <a:srgbClr val="000000"/>
          </a:solidFill>
          <a:prstDash val="solid"/>
        </a:ln>
      </c:spPr>
    </c:legend>
    <c:plotVisOnly val="1"/>
    <c:dispBlanksAs val="gap"/>
  </c:chart>
  <c:spPr>
    <a:noFill/>
    <a:ln w="6350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+mn-cs"/>
        </a:defRPr>
      </a:pPr>
      <a:endParaRPr lang="ar-SA"/>
    </a:p>
  </c:txPr>
  <c:externalData r:id="rId1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6770186335403742"/>
          <c:y val="6.3347179006444404E-2"/>
          <c:w val="0.81366459627331844"/>
          <c:h val="0.66787822755435211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East</c:v>
                </c:pt>
              </c:strCache>
            </c:strRef>
          </c:tx>
          <c:spPr>
            <a:solidFill>
              <a:srgbClr val="9999FF"/>
            </a:solidFill>
            <a:ln w="12683">
              <a:solidFill>
                <a:srgbClr val="000000"/>
              </a:solidFill>
              <a:prstDash val="solid"/>
            </a:ln>
          </c:spPr>
          <c:dLbls>
            <c:dLbl>
              <c:idx val="1"/>
              <c:layout/>
              <c:tx>
                <c:rich>
                  <a:bodyPr/>
                  <a:lstStyle/>
                  <a:p>
                    <a:r>
                      <a:rPr lang="en-US"/>
                      <a:t>749.4</a:t>
                    </a:r>
                  </a:p>
                </c:rich>
              </c:tx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numFmt formatCode="#,##0.0" sourceLinked="0"/>
            <c:spPr>
              <a:noFill/>
              <a:ln w="25366">
                <a:noFill/>
              </a:ln>
            </c:spPr>
            <c:txPr>
              <a:bodyPr/>
              <a:lstStyle/>
              <a:p>
                <a:pPr>
                  <a:defRPr sz="749" b="0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endParaRPr lang="ar-SA"/>
              </a:p>
            </c:txPr>
            <c:showVal val="1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Sheet1!$B$1:$E$1</c:f>
              <c:strCache>
                <c:ptCount val="4"/>
                <c:pt idx="0">
                  <c:v>  Output</c:v>
                </c:pt>
                <c:pt idx="1">
                  <c:v> Gross Value Added</c:v>
                </c:pt>
                <c:pt idx="2">
                  <c:v> Compensation of Employees</c:v>
                </c:pt>
                <c:pt idx="3">
                  <c:v> Intermediate Consumption</c:v>
                </c:pt>
              </c:strCache>
            </c:strRef>
          </c:cat>
          <c:val>
            <c:numRef>
              <c:f>Sheet1!$B$2:$E$2</c:f>
              <c:numCache>
                <c:formatCode>General</c:formatCode>
                <c:ptCount val="4"/>
                <c:pt idx="0" formatCode="####.00">
                  <c:v>1617.5</c:v>
                </c:pt>
                <c:pt idx="1">
                  <c:v>749.4</c:v>
                </c:pt>
                <c:pt idx="2">
                  <c:v>72.3</c:v>
                </c:pt>
                <c:pt idx="3">
                  <c:v>868.1</c:v>
                </c:pt>
              </c:numCache>
            </c:numRef>
          </c:val>
        </c:ser>
        <c:axId val="104734080"/>
        <c:axId val="104760832"/>
      </c:barChart>
      <c:catAx>
        <c:axId val="104734080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749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en-US"/>
                  <a:t>Indicator</a:t>
                </a:r>
              </a:p>
            </c:rich>
          </c:tx>
          <c:layout>
            <c:manualLayout>
              <c:xMode val="edge"/>
              <c:yMode val="edge"/>
              <c:x val="0.47672680831907244"/>
              <c:y val="0.89771966871505549"/>
            </c:manualLayout>
          </c:layout>
          <c:spPr>
            <a:noFill/>
            <a:ln w="25366">
              <a:noFill/>
            </a:ln>
          </c:spPr>
        </c:title>
        <c:numFmt formatCode="General" sourceLinked="1"/>
        <c:tickLblPos val="nextTo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749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ar-SA"/>
          </a:p>
        </c:txPr>
        <c:crossAx val="104760832"/>
        <c:crosses val="autoZero"/>
        <c:auto val="1"/>
        <c:lblAlgn val="ctr"/>
        <c:lblOffset val="100"/>
        <c:tickLblSkip val="1"/>
        <c:tickMarkSkip val="1"/>
      </c:catAx>
      <c:valAx>
        <c:axId val="104760832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sz="749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en-US"/>
                  <a:t>Value</a:t>
                </a:r>
              </a:p>
            </c:rich>
          </c:tx>
          <c:layout>
            <c:manualLayout>
              <c:xMode val="edge"/>
              <c:yMode val="edge"/>
              <c:x val="6.2111801242239134E-3"/>
              <c:y val="0.30434782608695682"/>
            </c:manualLayout>
          </c:layout>
          <c:spPr>
            <a:noFill/>
            <a:ln w="25366">
              <a:noFill/>
            </a:ln>
          </c:spPr>
        </c:title>
        <c:numFmt formatCode="####.00" sourceLinked="1"/>
        <c:tickLblPos val="nextTo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749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ar-SA"/>
          </a:p>
        </c:txPr>
        <c:crossAx val="104734080"/>
        <c:crosses val="autoZero"/>
        <c:crossBetween val="between"/>
      </c:valAx>
      <c:spPr>
        <a:noFill/>
        <a:ln w="25366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749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8948211473918572"/>
          <c:y val="7.5934972834844475E-2"/>
          <c:w val="0.79499575785030463"/>
          <c:h val="0.68356559573817921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East</c:v>
                </c:pt>
              </c:strCache>
            </c:strRef>
          </c:tx>
          <c:spPr>
            <a:solidFill>
              <a:srgbClr val="9999FF"/>
            </a:solidFill>
            <a:ln w="12683">
              <a:solidFill>
                <a:srgbClr val="000000"/>
              </a:solidFill>
              <a:prstDash val="solid"/>
            </a:ln>
          </c:spPr>
          <c:cat>
            <c:strRef>
              <c:f>Sheet1!$B$1:$E$1</c:f>
              <c:strCache>
                <c:ptCount val="4"/>
                <c:pt idx="0">
                  <c:v>  Output</c:v>
                </c:pt>
                <c:pt idx="1">
                  <c:v> Gross Value Added</c:v>
                </c:pt>
                <c:pt idx="2">
                  <c:v> Compensation of Employees</c:v>
                </c:pt>
                <c:pt idx="3">
                  <c:v>Intermediate Consumption</c:v>
                </c:pt>
              </c:strCache>
            </c:strRef>
          </c:cat>
          <c:val>
            <c:numRef>
              <c:f>Sheet1!$B$2:$E$2</c:f>
              <c:numCache>
                <c:formatCode>#,##0.0</c:formatCode>
                <c:ptCount val="4"/>
                <c:pt idx="0">
                  <c:v>441844.4</c:v>
                </c:pt>
                <c:pt idx="1">
                  <c:v>280407.90000000002</c:v>
                </c:pt>
                <c:pt idx="2">
                  <c:v>44754.9</c:v>
                </c:pt>
                <c:pt idx="3">
                  <c:v>161436.6</c:v>
                </c:pt>
              </c:numCache>
            </c:numRef>
          </c:val>
        </c:ser>
        <c:dLbls>
          <c:showVal val="1"/>
        </c:dLbls>
        <c:axId val="104773120"/>
        <c:axId val="106115456"/>
      </c:barChart>
      <c:catAx>
        <c:axId val="104773120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749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en-US"/>
                  <a:t>Indicator</a:t>
                </a:r>
              </a:p>
            </c:rich>
          </c:tx>
          <c:layout>
            <c:manualLayout>
              <c:xMode val="edge"/>
              <c:yMode val="edge"/>
              <c:x val="0.51192689635606314"/>
              <c:y val="0.91540201146274358"/>
            </c:manualLayout>
          </c:layout>
          <c:spPr>
            <a:noFill/>
            <a:ln w="25366">
              <a:noFill/>
            </a:ln>
          </c:spPr>
        </c:title>
        <c:numFmt formatCode="General" sourceLinked="1"/>
        <c:tickLblPos val="nextTo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749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ar-SA"/>
          </a:p>
        </c:txPr>
        <c:crossAx val="106115456"/>
        <c:crosses val="autoZero"/>
        <c:auto val="1"/>
        <c:lblAlgn val="ctr"/>
        <c:lblOffset val="100"/>
        <c:tickLblSkip val="1"/>
        <c:tickMarkSkip val="1"/>
      </c:catAx>
      <c:valAx>
        <c:axId val="106115456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sz="749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en-US"/>
                  <a:t>Value</a:t>
                </a:r>
              </a:p>
            </c:rich>
          </c:tx>
          <c:layout>
            <c:manualLayout>
              <c:xMode val="edge"/>
              <c:yMode val="edge"/>
              <c:x val="1.8580689166189136E-2"/>
              <c:y val="0.34748633949737395"/>
            </c:manualLayout>
          </c:layout>
          <c:spPr>
            <a:noFill/>
            <a:ln w="25366">
              <a:noFill/>
            </a:ln>
          </c:spPr>
        </c:title>
        <c:numFmt formatCode="#,##0.0" sourceLinked="1"/>
        <c:tickLblPos val="nextTo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749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ar-SA"/>
          </a:p>
        </c:txPr>
        <c:crossAx val="104773120"/>
        <c:crosses val="autoZero"/>
        <c:crossBetween val="between"/>
      </c:valAx>
      <c:spPr>
        <a:noFill/>
        <a:ln w="25366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749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5904293900944877"/>
          <c:y val="9.0534979423878767E-2"/>
          <c:w val="0.840957060990567"/>
          <c:h val="0.71585398790850363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 Males</c:v>
                </c:pt>
              </c:strCache>
            </c:strRef>
          </c:tx>
          <c:spPr>
            <a:solidFill>
              <a:srgbClr val="9999FF"/>
            </a:solidFill>
            <a:ln w="12684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-6.7381743322424484E-3"/>
                  <c:y val="6.3034019506484824E-4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25.5</a:t>
                    </a:r>
                  </a:p>
                </c:rich>
              </c:tx>
              <c:dLblPos val="outEnd"/>
              <c:showVal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367">
                <a:noFill/>
              </a:ln>
            </c:sp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Sheet1!$B$1:$D$1</c:f>
              <c:strCache>
                <c:ptCount val="3"/>
                <c:pt idx="0">
                  <c:v> Nablus</c:v>
                </c:pt>
                <c:pt idx="1">
                  <c:v> Jerusalem</c:v>
                </c:pt>
                <c:pt idx="2">
                  <c:v> Hebron</c:v>
                </c:pt>
              </c:strCache>
            </c:strRef>
          </c:cat>
          <c:val>
            <c:numRef>
              <c:f>Sheet1!$B$2:$D$2</c:f>
              <c:numCache>
                <c:formatCode>0.0</c:formatCode>
                <c:ptCount val="3"/>
                <c:pt idx="0">
                  <c:v>25.5</c:v>
                </c:pt>
                <c:pt idx="1">
                  <c:v>24.8</c:v>
                </c:pt>
                <c:pt idx="2" formatCode="General">
                  <c:v>24.2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 Females</c:v>
                </c:pt>
              </c:strCache>
            </c:strRef>
          </c:tx>
          <c:spPr>
            <a:solidFill>
              <a:srgbClr val="993366"/>
            </a:solidFill>
            <a:ln w="12684">
              <a:solidFill>
                <a:srgbClr val="000000"/>
              </a:solidFill>
              <a:prstDash val="solid"/>
            </a:ln>
          </c:spPr>
          <c:dLbls>
            <c:spPr>
              <a:noFill/>
              <a:ln w="25367">
                <a:noFill/>
              </a:ln>
            </c:sp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Sheet1!$B$1:$D$1</c:f>
              <c:strCache>
                <c:ptCount val="3"/>
                <c:pt idx="0">
                  <c:v> Nablus</c:v>
                </c:pt>
                <c:pt idx="1">
                  <c:v> Jerusalem</c:v>
                </c:pt>
                <c:pt idx="2">
                  <c:v> Hebron</c:v>
                </c:pt>
              </c:strCache>
            </c:strRef>
          </c:cat>
          <c:val>
            <c:numRef>
              <c:f>Sheet1!$B$3:$D$3</c:f>
              <c:numCache>
                <c:formatCode>General</c:formatCode>
                <c:ptCount val="3"/>
                <c:pt idx="0">
                  <c:v>20.9</c:v>
                </c:pt>
                <c:pt idx="1">
                  <c:v>20.2</c:v>
                </c:pt>
                <c:pt idx="2">
                  <c:v>19.8</c:v>
                </c:pt>
              </c:numCache>
            </c:numRef>
          </c:val>
        </c:ser>
        <c:dLbls>
          <c:showVal val="1"/>
        </c:dLbls>
        <c:axId val="58560512"/>
        <c:axId val="58562432"/>
      </c:barChart>
      <c:catAx>
        <c:axId val="58560512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b="1"/>
                </a:pPr>
                <a:r>
                  <a:rPr lang="en-US" b="1"/>
                  <a:t>Governorate</a:t>
                </a:r>
              </a:p>
            </c:rich>
          </c:tx>
          <c:layout>
            <c:manualLayout>
              <c:xMode val="edge"/>
              <c:yMode val="edge"/>
              <c:x val="0.44207116184257661"/>
              <c:y val="0.90462219267446464"/>
            </c:manualLayout>
          </c:layout>
          <c:spPr>
            <a:noFill/>
            <a:ln w="25367">
              <a:noFill/>
            </a:ln>
          </c:spPr>
        </c:title>
        <c:numFmt formatCode="General" sourceLinked="1"/>
        <c:tickLblPos val="nextTo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58562432"/>
        <c:crosses val="autoZero"/>
        <c:auto val="1"/>
        <c:lblAlgn val="ctr"/>
        <c:lblOffset val="100"/>
        <c:tickLblSkip val="1"/>
        <c:tickMarkSkip val="1"/>
      </c:catAx>
      <c:valAx>
        <c:axId val="58562432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b="1"/>
                </a:pPr>
                <a:r>
                  <a:rPr lang="en-US" b="1"/>
                  <a:t>Median Age by Years</a:t>
                </a:r>
              </a:p>
            </c:rich>
          </c:tx>
          <c:layout>
            <c:manualLayout>
              <c:xMode val="edge"/>
              <c:yMode val="edge"/>
              <c:x val="4.0616452055891934E-2"/>
              <c:y val="0.24996242989336487"/>
            </c:manualLayout>
          </c:layout>
          <c:spPr>
            <a:noFill/>
            <a:ln w="25367">
              <a:noFill/>
            </a:ln>
          </c:spPr>
        </c:title>
        <c:numFmt formatCode="0.0" sourceLinked="1"/>
        <c:tickLblPos val="nextTo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58560512"/>
        <c:crosses val="autoZero"/>
        <c:crossBetween val="between"/>
      </c:valAx>
      <c:spPr>
        <a:noFill/>
        <a:ln w="25367">
          <a:noFill/>
        </a:ln>
      </c:spPr>
    </c:plotArea>
    <c:legend>
      <c:legendPos val="r"/>
      <c:layout>
        <c:manualLayout>
          <c:xMode val="edge"/>
          <c:yMode val="edge"/>
          <c:x val="0.63209693304295955"/>
          <c:y val="2.6361345549499166E-2"/>
          <c:w val="0.33776016065716252"/>
          <c:h val="9.0534979423878767E-2"/>
        </c:manualLayout>
      </c:layout>
      <c:spPr>
        <a:noFill/>
        <a:ln w="3171">
          <a:solidFill>
            <a:srgbClr val="000000"/>
          </a:solidFill>
          <a:prstDash val="solid"/>
        </a:ln>
      </c:spPr>
    </c:legend>
    <c:plotVisOnly val="1"/>
    <c:dispBlanksAs val="gap"/>
  </c:chart>
  <c:spPr>
    <a:noFill/>
    <a:ln w="6350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+mn-cs"/>
        </a:defRPr>
      </a:pPr>
      <a:endParaRPr lang="ar-SA"/>
    </a:p>
  </c:txPr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39198765949799347"/>
          <c:y val="0.21871436991725604"/>
          <c:w val="0.29574026883677634"/>
          <c:h val="0.74099949832843592"/>
        </c:manualLayout>
      </c:layout>
      <c:pie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Sales</c:v>
                </c:pt>
              </c:strCache>
            </c:strRef>
          </c:tx>
          <c:explosion val="25"/>
          <c:dLbls>
            <c:dLbl>
              <c:idx val="0"/>
              <c:layout>
                <c:manualLayout>
                  <c:x val="0.16202788624270326"/>
                  <c:y val="3.169364800494285E-2"/>
                </c:manualLayout>
              </c:layout>
              <c:dLblPos val="bestFit"/>
              <c:showVal val="1"/>
              <c:showCatName val="1"/>
              <c:separator>
</c:separator>
            </c:dLbl>
            <c:dLbl>
              <c:idx val="1"/>
              <c:layout>
                <c:manualLayout>
                  <c:x val="4.3417093300277883E-2"/>
                  <c:y val="0.27891033934126908"/>
                </c:manualLayout>
              </c:layout>
              <c:dLblPos val="bestFit"/>
              <c:showVal val="1"/>
              <c:showCatName val="1"/>
              <c:separator>
</c:separator>
            </c:dLbl>
            <c:dLbl>
              <c:idx val="2"/>
              <c:layout>
                <c:manualLayout>
                  <c:x val="-0.10686423143740591"/>
                  <c:y val="-0.21573955567717298"/>
                </c:manualLayout>
              </c:layout>
              <c:dLblPos val="bestFit"/>
              <c:showVal val="1"/>
              <c:showCatName val="1"/>
              <c:separator>
</c:separator>
            </c:dLbl>
            <c:dLbl>
              <c:idx val="3"/>
              <c:layout>
                <c:manualLayout>
                  <c:x val="-0.21741310268237746"/>
                  <c:y val="3.5693152500650929E-2"/>
                </c:manualLayout>
              </c:layout>
              <c:dLblPos val="bestFit"/>
              <c:showVal val="1"/>
              <c:showCatName val="1"/>
              <c:separator>
</c:separator>
            </c:dLbl>
            <c:numFmt formatCode="0.0%" sourceLinked="0"/>
            <c:dLblPos val="bestFit"/>
            <c:showVal val="1"/>
            <c:showCatName val="1"/>
            <c:separator>
</c:separator>
            <c:showLeaderLines val="1"/>
          </c:dLbls>
          <c:cat>
            <c:strRef>
              <c:f>Sheet1!$A$2:$A$5</c:f>
              <c:strCache>
                <c:ptCount val="4"/>
                <c:pt idx="0">
                  <c:v>
 Employer</c:v>
                </c:pt>
                <c:pt idx="1">
                  <c:v>
 Self employed</c:v>
                </c:pt>
                <c:pt idx="2">
                  <c:v>
 Wage employee</c:v>
                </c:pt>
                <c:pt idx="3">
                  <c:v>
 Unpaid family member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3.6999999999999998E-2</c:v>
                </c:pt>
                <c:pt idx="1">
                  <c:v>0.14200000000000004</c:v>
                </c:pt>
                <c:pt idx="2">
                  <c:v>0.81599999999999995</c:v>
                </c:pt>
                <c:pt idx="3">
                  <c:v>5.0000000000000114E-3</c:v>
                </c:pt>
              </c:numCache>
            </c:numRef>
          </c:val>
        </c:ser>
        <c:dLbls>
          <c:showVal val="1"/>
          <c:showCatName val="1"/>
        </c:dLbls>
        <c:firstSliceAng val="0"/>
      </c:pieChart>
    </c:plotArea>
    <c:plotVisOnly val="1"/>
    <c:dispBlanksAs val="zero"/>
  </c:chart>
  <c:spPr>
    <a:ln>
      <a:noFill/>
    </a:ln>
  </c:spPr>
  <c:txPr>
    <a:bodyPr/>
    <a:lstStyle/>
    <a:p>
      <a:pPr>
        <a:defRPr sz="800">
          <a:latin typeface="Arial" pitchFamily="34" charset="0"/>
          <a:cs typeface="Arial" pitchFamily="34" charset="0"/>
        </a:defRPr>
      </a:pPr>
      <a:endParaRPr lang="ar-SA"/>
    </a:p>
  </c:txPr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227553278923102"/>
          <c:y val="5.8275287704421572E-2"/>
          <c:w val="0.83754025274871002"/>
          <c:h val="0.72420911439697966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spPr>
            <a:solidFill>
              <a:srgbClr val="9999FF"/>
            </a:solidFill>
            <a:ln w="12701">
              <a:solidFill>
                <a:srgbClr val="000000"/>
              </a:solidFill>
              <a:prstDash val="solid"/>
            </a:ln>
          </c:spPr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dLblPos val="outEnd"/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Sheet1!$B$1:$E$1</c:f>
              <c:strCache>
                <c:ptCount val="3"/>
                <c:pt idx="0">
                  <c:v> Using  computer</c:v>
                </c:pt>
                <c:pt idx="1">
                  <c:v>Using  Internet</c:v>
                </c:pt>
                <c:pt idx="2">
                  <c:v>Own amobile phone</c:v>
                </c:pt>
              </c:strCache>
            </c:strRef>
          </c:cat>
          <c:val>
            <c:numRef>
              <c:f>Sheet1!$B$2:$E$2</c:f>
              <c:numCache>
                <c:formatCode>0.0</c:formatCode>
                <c:ptCount val="3"/>
                <c:pt idx="0">
                  <c:v>62.1</c:v>
                </c:pt>
                <c:pt idx="1">
                  <c:v>65</c:v>
                </c:pt>
                <c:pt idx="2" formatCode="General">
                  <c:v>78.900000000000006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</c:strCache>
            </c:strRef>
          </c:tx>
          <c:cat>
            <c:strRef>
              <c:f>Sheet1!$B$1:$E$1</c:f>
              <c:strCache>
                <c:ptCount val="3"/>
                <c:pt idx="0">
                  <c:v> Using  computer</c:v>
                </c:pt>
                <c:pt idx="1">
                  <c:v>Using  Internet</c:v>
                </c:pt>
                <c:pt idx="2">
                  <c:v>Own amobile phone</c:v>
                </c:pt>
              </c:strCache>
            </c:strRef>
          </c:cat>
          <c:val>
            <c:numRef>
              <c:f>Sheet1!$B$3:$E$3</c:f>
              <c:numCache>
                <c:formatCode>General</c:formatCode>
                <c:ptCount val="3"/>
              </c:numCache>
            </c:numRef>
          </c:val>
        </c:ser>
        <c:dLbls>
          <c:showVal val="1"/>
        </c:dLbls>
        <c:axId val="100868864"/>
        <c:axId val="100870784"/>
      </c:barChart>
      <c:catAx>
        <c:axId val="100868864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Using of ICT Tools</a:t>
                </a:r>
                <a:endParaRPr lang="ar-SA"/>
              </a:p>
            </c:rich>
          </c:tx>
          <c:layout>
            <c:manualLayout>
              <c:xMode val="edge"/>
              <c:yMode val="edge"/>
              <c:x val="0.4119441536014698"/>
              <c:y val="0.90657270959734093"/>
            </c:manualLayout>
          </c:layout>
          <c:spPr>
            <a:noFill/>
            <a:ln w="25401">
              <a:noFill/>
            </a:ln>
          </c:spPr>
        </c:title>
        <c:numFmt formatCode="General" sourceLinked="1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100870784"/>
        <c:crosses val="autoZero"/>
        <c:auto val="1"/>
        <c:lblAlgn val="ctr"/>
        <c:lblOffset val="100"/>
        <c:tickLblSkip val="1"/>
        <c:tickMarkSkip val="1"/>
      </c:catAx>
      <c:valAx>
        <c:axId val="100870784"/>
        <c:scaling>
          <c:orientation val="minMax"/>
        </c:scaling>
        <c:axPos val="l"/>
        <c:title>
          <c:tx>
            <c:rich>
              <a:bodyPr rot="-5400000" vert="horz"/>
              <a:lstStyle/>
              <a:p>
                <a:pPr algn="ctr">
                  <a:defRPr/>
                </a:pPr>
                <a:r>
                  <a:rPr lang="en-US"/>
                  <a:t>Percentage </a:t>
                </a:r>
                <a:endParaRPr lang="ar-SA"/>
              </a:p>
            </c:rich>
          </c:tx>
          <c:layout>
            <c:manualLayout>
              <c:xMode val="edge"/>
              <c:yMode val="edge"/>
              <c:x val="1.1143677133816561E-2"/>
              <c:y val="0.18746271421954608"/>
            </c:manualLayout>
          </c:layout>
          <c:spPr>
            <a:noFill/>
            <a:ln w="25401">
              <a:noFill/>
            </a:ln>
          </c:spPr>
        </c:title>
        <c:numFmt formatCode="0.0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100868864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</c:chart>
  <c:spPr>
    <a:noFill/>
    <a:ln w="6350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800" b="1" i="0" u="none" strike="noStrike" baseline="0">
          <a:solidFill>
            <a:srgbClr val="000000"/>
          </a:solidFill>
          <a:latin typeface="Arial" pitchFamily="34" charset="0"/>
          <a:ea typeface="Calibri"/>
          <a:cs typeface="Arial" pitchFamily="34" charset="0"/>
        </a:defRPr>
      </a:pPr>
      <a:endParaRPr lang="ar-SA"/>
    </a:p>
  </c:txPr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style val="4"/>
  <c:chart>
    <c:autoTitleDeleted val="1"/>
    <c:plotArea>
      <c:layout>
        <c:manualLayout>
          <c:layoutTarget val="inner"/>
          <c:xMode val="edge"/>
          <c:yMode val="edge"/>
          <c:x val="0.3824910721111317"/>
          <c:y val="0.10287818118298353"/>
          <c:w val="0.34554205387296238"/>
          <c:h val="0.77304760485845958"/>
        </c:manualLayout>
      </c:layout>
      <c:pieChart>
        <c:varyColors val="1"/>
        <c:ser>
          <c:idx val="0"/>
          <c:order val="0"/>
          <c:tx>
            <c:strRef>
              <c:f>Sheet1!$A$2</c:f>
              <c:strCache>
                <c:ptCount val="1"/>
                <c:pt idx="0">
                  <c:v>نوع المسكن</c:v>
                </c:pt>
              </c:strCache>
            </c:strRef>
          </c:tx>
          <c:dLbls>
            <c:dLbl>
              <c:idx val="0"/>
              <c:layout>
                <c:manualLayout>
                  <c:x val="-1.496693442672312E-2"/>
                  <c:y val="-0.22878005714141408"/>
                </c:manualLayout>
              </c:layout>
              <c:tx>
                <c:rich>
                  <a:bodyPr/>
                  <a:lstStyle/>
                  <a:p>
                    <a:r>
                      <a:rPr lang="ar-SA"/>
                      <a:t> </a:t>
                    </a:r>
                    <a:r>
                      <a:rPr lang="en-US"/>
                      <a:t>Villa\Huose
%34.3</a:t>
                    </a:r>
                  </a:p>
                </c:rich>
              </c:tx>
              <c:showCatName val="1"/>
              <c:showPercent val="1"/>
              <c:separator>
</c:separator>
            </c:dLbl>
            <c:dLbl>
              <c:idx val="1"/>
              <c:layout>
                <c:manualLayout>
                  <c:x val="-4.0895189968493312E-2"/>
                  <c:y val="6.6309080562730618E-2"/>
                </c:manualLayout>
              </c:layout>
              <c:tx>
                <c:rich>
                  <a:bodyPr/>
                  <a:lstStyle/>
                  <a:p>
                    <a:r>
                      <a:rPr lang="ar-SA"/>
                      <a:t> </a:t>
                    </a:r>
                    <a:r>
                      <a:rPr lang="en-US"/>
                      <a:t>Apartment\ Independent Room
%65.7</a:t>
                    </a:r>
                  </a:p>
                </c:rich>
              </c:tx>
              <c:showCatName val="1"/>
              <c:showPercent val="1"/>
              <c:separator>
</c:separator>
            </c:dLbl>
            <c:numFmt formatCode="0.0%" sourceLinked="0"/>
            <c:showCatName val="1"/>
            <c:showPercent val="1"/>
            <c:separator>
</c:separator>
            <c:showLeaderLines val="1"/>
          </c:dLbls>
          <c:cat>
            <c:strRef>
              <c:f>Sheet1!$B$1:$C$1</c:f>
              <c:strCache>
                <c:ptCount val="2"/>
                <c:pt idx="0">
                  <c:v> 
 Villa\Huose</c:v>
                </c:pt>
                <c:pt idx="1">
                  <c:v>  Apartment\ Independent Room</c:v>
                </c:pt>
              </c:strCache>
            </c:strRef>
          </c:cat>
          <c:val>
            <c:numRef>
              <c:f>Sheet1!$B$2:$C$2</c:f>
              <c:numCache>
                <c:formatCode>0.0</c:formatCode>
                <c:ptCount val="2"/>
                <c:pt idx="0">
                  <c:v>46.312947069014172</c:v>
                </c:pt>
                <c:pt idx="1">
                  <c:v>53.7</c:v>
                </c:pt>
              </c:numCache>
            </c:numRef>
          </c:val>
        </c:ser>
        <c:dLbls>
          <c:showVal val="1"/>
        </c:dLbls>
        <c:firstSliceAng val="0"/>
      </c:pieChart>
    </c:plotArea>
    <c:plotVisOnly val="1"/>
    <c:dispBlanksAs val="zero"/>
  </c:chart>
  <c:spPr>
    <a:noFill/>
    <a:ln>
      <a:noFill/>
    </a:ln>
  </c:spPr>
  <c:txPr>
    <a:bodyPr/>
    <a:lstStyle/>
    <a:p>
      <a:pPr>
        <a:defRPr sz="800">
          <a:latin typeface="Arial" pitchFamily="34" charset="0"/>
          <a:cs typeface="Arial" pitchFamily="34" charset="0"/>
        </a:defRPr>
      </a:pPr>
      <a:endParaRPr lang="ar-SA"/>
    </a:p>
  </c:txPr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4575966534097096"/>
          <c:y val="6.5626199369293231E-2"/>
          <c:w val="0.82438924958827775"/>
          <c:h val="0.67772438118266454"/>
        </c:manualLayout>
      </c:layout>
      <c:barChart>
        <c:barDir val="col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Column1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Palestine</c:v>
                </c:pt>
                <c:pt idx="1">
                  <c:v>West Bank*</c:v>
                </c:pt>
                <c:pt idx="2">
                  <c:v>Gaza Strip</c:v>
                </c:pt>
                <c:pt idx="3">
                  <c:v>Jerusalem 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800</c:v>
                </c:pt>
                <c:pt idx="1">
                  <c:v>519</c:v>
                </c:pt>
                <c:pt idx="2" formatCode="#,##0">
                  <c:v>5154</c:v>
                </c:pt>
                <c:pt idx="3" formatCode="#,##0">
                  <c:v>1236</c:v>
                </c:pt>
              </c:numCache>
            </c:numRef>
          </c:val>
        </c:ser>
        <c:dLbls>
          <c:showVal val="1"/>
        </c:dLbls>
        <c:axId val="100843520"/>
        <c:axId val="100845440"/>
      </c:barChart>
      <c:catAx>
        <c:axId val="100843520"/>
        <c:scaling>
          <c:orientation val="minMax"/>
        </c:scaling>
        <c:axPos val="b"/>
        <c:title>
          <c:tx>
            <c:rich>
              <a:bodyPr/>
              <a:lstStyle/>
              <a:p>
                <a:pPr rtl="1">
                  <a:defRPr/>
                </a:pPr>
                <a:r>
                  <a:rPr lang="en-US"/>
                  <a:t>Region</a:t>
                </a:r>
              </a:p>
            </c:rich>
          </c:tx>
          <c:layout>
            <c:manualLayout>
              <c:xMode val="edge"/>
              <c:yMode val="edge"/>
              <c:x val="0.47187405848353076"/>
              <c:y val="0.88769444444446965"/>
            </c:manualLayout>
          </c:layout>
        </c:title>
        <c:numFmt formatCode="General" sourceLinked="0"/>
        <c:tickLblPos val="nextTo"/>
        <c:crossAx val="100845440"/>
        <c:crosses val="autoZero"/>
        <c:auto val="1"/>
        <c:lblAlgn val="ctr"/>
        <c:lblOffset val="100"/>
      </c:catAx>
      <c:valAx>
        <c:axId val="100845440"/>
        <c:scaling>
          <c:orientation val="minMax"/>
        </c:scaling>
        <c:axPos val="l"/>
        <c:title>
          <c:tx>
            <c:rich>
              <a:bodyPr rot="-5400000" vert="horz"/>
              <a:lstStyle/>
              <a:p>
                <a:pPr rtl="1">
                  <a:defRPr/>
                </a:pPr>
                <a:r>
                  <a:rPr lang="en-US"/>
                  <a:t>Population Density </a:t>
                </a:r>
              </a:p>
            </c:rich>
          </c:tx>
          <c:layout>
            <c:manualLayout>
              <c:xMode val="edge"/>
              <c:yMode val="edge"/>
              <c:x val="1.8996132395991381E-2"/>
              <c:y val="0.17898054373444044"/>
            </c:manualLayout>
          </c:layout>
        </c:title>
        <c:numFmt formatCode="General" sourceLinked="1"/>
        <c:tickLblPos val="nextTo"/>
        <c:crossAx val="100843520"/>
        <c:crosses val="autoZero"/>
        <c:crossBetween val="between"/>
      </c:valAx>
    </c:plotArea>
    <c:plotVisOnly val="1"/>
    <c:dispBlanksAs val="gap"/>
  </c:chart>
  <c:txPr>
    <a:bodyPr/>
    <a:lstStyle/>
    <a:p>
      <a:pPr>
        <a:defRPr sz="800" baseline="0">
          <a:solidFill>
            <a:schemeClr val="tx1"/>
          </a:solidFill>
          <a:latin typeface="Arial" pitchFamily="34" charset="0"/>
          <a:cs typeface="Arial" pitchFamily="34" charset="0"/>
        </a:defRPr>
      </a:pPr>
      <a:endParaRPr lang="ar-SA"/>
    </a:p>
  </c:txPr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style val="34"/>
  <c:chart>
    <c:autoTitleDeleted val="1"/>
    <c:plotArea>
      <c:layout>
        <c:manualLayout>
          <c:layoutTarget val="inner"/>
          <c:xMode val="edge"/>
          <c:yMode val="edge"/>
          <c:x val="0.3487528301919558"/>
          <c:y val="0.10698585431638929"/>
          <c:w val="0.31824666646986327"/>
          <c:h val="0.74895644203655853"/>
        </c:manualLayout>
      </c:layout>
      <c:pie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Column2</c:v>
                </c:pt>
              </c:strCache>
            </c:strRef>
          </c:tx>
          <c:explosion val="25"/>
          <c:dLbls>
            <c:dLbl>
              <c:idx val="0"/>
              <c:layout>
                <c:manualLayout>
                  <c:x val="9.3185535315908591E-2"/>
                  <c:y val="-0.26810361435935781"/>
                </c:manualLayout>
              </c:layout>
              <c:showCatName val="1"/>
              <c:showPercent val="1"/>
              <c:separator>
</c:separator>
            </c:dLbl>
            <c:dLbl>
              <c:idx val="1"/>
              <c:layout>
                <c:manualLayout>
                  <c:x val="-5.0408735906717017E-2"/>
                  <c:y val="0.19283666785374418"/>
                </c:manualLayout>
              </c:layout>
              <c:showCatName val="1"/>
              <c:showPercent val="1"/>
              <c:separator>
</c:separator>
            </c:dLbl>
            <c:dLbl>
              <c:idx val="2"/>
              <c:layout>
                <c:manualLayout>
                  <c:x val="-0.10702476321274799"/>
                  <c:y val="-0.24158373015873041"/>
                </c:manualLayout>
              </c:layout>
              <c:tx>
                <c:rich>
                  <a:bodyPr/>
                  <a:lstStyle/>
                  <a:p>
                    <a:r>
                      <a:rPr lang="ar-SA">
                        <a:latin typeface="Arial" pitchFamily="34" charset="0"/>
                        <a:cs typeface="Arial" pitchFamily="34" charset="0"/>
                      </a:rPr>
                      <a:t>
</a:t>
                    </a:r>
                    <a:r>
                      <a:rPr lang="ar-SA"/>
                      <a:t> </a:t>
                    </a:r>
                    <a:r>
                      <a:rPr lang="en-US"/>
                      <a:t>Fairly good
19.3%</a:t>
                    </a:r>
                  </a:p>
                </c:rich>
              </c:tx>
              <c:showCatName val="1"/>
              <c:showPercent val="1"/>
              <c:separator>
</c:separator>
            </c:dLbl>
            <c:numFmt formatCode="0.0%" sourceLinked="0"/>
            <c:txPr>
              <a:bodyPr/>
              <a:lstStyle/>
              <a:p>
                <a:pPr>
                  <a:defRPr>
                    <a:latin typeface="Arial" pitchFamily="34" charset="0"/>
                    <a:cs typeface="Arial" pitchFamily="34" charset="0"/>
                  </a:defRPr>
                </a:pPr>
                <a:endParaRPr lang="ar-SA"/>
              </a:p>
            </c:txPr>
            <c:showCatName val="1"/>
            <c:showPercent val="1"/>
            <c:separator>
</c:separator>
            <c:showLeaderLines val="1"/>
          </c:dLbls>
          <c:cat>
            <c:strRef>
              <c:f>Sheet1!$A$2:$A$4</c:f>
              <c:strCache>
                <c:ptCount val="3"/>
                <c:pt idx="0">
                  <c:v>
 Good</c:v>
                </c:pt>
                <c:pt idx="1">
                  <c:v>
 Bad</c:v>
                </c:pt>
                <c:pt idx="2">
                  <c:v>متوسطة
 Fairly good</c:v>
                </c:pt>
              </c:strCache>
            </c:strRef>
          </c:cat>
          <c:val>
            <c:numRef>
              <c:f>Sheet1!$B$2:$B$4</c:f>
              <c:numCache>
                <c:formatCode>General</c:formatCode>
                <c:ptCount val="3"/>
                <c:pt idx="0">
                  <c:v>79</c:v>
                </c:pt>
                <c:pt idx="1">
                  <c:v>1.7</c:v>
                </c:pt>
                <c:pt idx="2">
                  <c:v>19.3</c:v>
                </c:pt>
              </c:numCache>
            </c:numRef>
          </c:val>
        </c:ser>
        <c:dLbls>
          <c:showVal val="1"/>
        </c:dLbls>
        <c:firstSliceAng val="0"/>
      </c:pieChart>
    </c:plotArea>
    <c:plotVisOnly val="1"/>
  </c:chart>
  <c:spPr>
    <a:ln>
      <a:noFill/>
    </a:ln>
  </c:spPr>
  <c:txPr>
    <a:bodyPr/>
    <a:lstStyle/>
    <a:p>
      <a:pPr>
        <a:defRPr sz="800"/>
      </a:pPr>
      <a:endParaRPr lang="ar-SA"/>
    </a:p>
  </c:txPr>
  <c:externalData r:id="rId1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31524334984986507"/>
          <c:y val="9.3931067901107293E-2"/>
          <c:w val="0.35617306751589833"/>
          <c:h val="0.82762206940635508"/>
        </c:manualLayout>
      </c:layout>
      <c:pieChart>
        <c:varyColors val="1"/>
        <c:ser>
          <c:idx val="0"/>
          <c:order val="0"/>
          <c:tx>
            <c:strRef>
              <c:f>Sheet1!$A$2</c:f>
              <c:strCache>
                <c:ptCount val="1"/>
                <c:pt idx="0">
                  <c:v>النسبة</c:v>
                </c:pt>
              </c:strCache>
            </c:strRef>
          </c:tx>
          <c:spPr>
            <a:solidFill>
              <a:srgbClr val="9999FF"/>
            </a:solidFill>
            <a:ln w="12700">
              <a:solidFill>
                <a:srgbClr val="000000"/>
              </a:solidFill>
              <a:prstDash val="solid"/>
            </a:ln>
          </c:spPr>
          <c:explosion val="25"/>
          <c:dPt>
            <c:idx val="1"/>
            <c:spPr>
              <a:solidFill>
                <a:srgbClr val="993366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2"/>
            <c:spPr>
              <a:solidFill>
                <a:srgbClr val="FFFFCC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Lbls>
            <c:dLbl>
              <c:idx val="0"/>
              <c:layout>
                <c:manualLayout>
                  <c:x val="3.6956359573457651E-2"/>
                  <c:y val="-0.38119065866610474"/>
                </c:manualLayout>
              </c:layout>
              <c:tx>
                <c:rich>
                  <a:bodyPr/>
                  <a:lstStyle/>
                  <a:p>
                    <a:r>
                      <a:rPr lang="en-US">
                        <a:latin typeface="Arial" pitchFamily="34" charset="0"/>
                        <a:cs typeface="Arial" pitchFamily="34" charset="0"/>
                      </a:rPr>
                      <a:t>V</a:t>
                    </a:r>
                    <a:r>
                      <a:rPr lang="en-US"/>
                      <a:t>ictim \Clan
86.9%</a:t>
                    </a:r>
                  </a:p>
                </c:rich>
              </c:tx>
              <c:dLblPos val="bestFit"/>
              <c:showVal val="1"/>
              <c:showCatName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3.7082330582868223E-2"/>
                  <c:y val="-0.31036425681224755"/>
                </c:manualLayout>
              </c:layout>
              <c:tx>
                <c:rich>
                  <a:bodyPr/>
                  <a:lstStyle/>
                  <a:p>
                    <a:r>
                      <a:rPr lang="en-US">
                        <a:latin typeface="Arial" pitchFamily="34" charset="0"/>
                        <a:cs typeface="Arial" pitchFamily="34" charset="0"/>
                      </a:rPr>
                      <a:t>C</a:t>
                    </a:r>
                    <a:r>
                      <a:rPr lang="en-US"/>
                      <a:t>rime Port\Clan
7.3%</a:t>
                    </a:r>
                  </a:p>
                </c:rich>
              </c:tx>
              <c:dLblPos val="bestFit"/>
              <c:showVal val="1"/>
              <c:showCatName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0.12185213937459695"/>
                  <c:y val="-1.2443516606533781E-2"/>
                </c:manualLayout>
              </c:layout>
              <c:tx>
                <c:rich>
                  <a:bodyPr/>
                  <a:lstStyle/>
                  <a:p>
                    <a:r>
                      <a:rPr lang="en-US">
                        <a:latin typeface="Arial" pitchFamily="34" charset="0"/>
                        <a:cs typeface="Arial" pitchFamily="34" charset="0"/>
                      </a:rPr>
                      <a:t> </a:t>
                    </a:r>
                    <a:r>
                      <a:rPr lang="en-US"/>
                      <a:t>Insurance Company
5.8%</a:t>
                    </a:r>
                  </a:p>
                </c:rich>
              </c:tx>
              <c:dLblPos val="bestFit"/>
              <c:showVal val="1"/>
              <c:showCatName val="1"/>
              <c:separator>
</c:separator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399">
                <a:noFill/>
              </a:ln>
            </c:spPr>
            <c:txPr>
              <a:bodyPr/>
              <a:lstStyle/>
              <a:p>
                <a:pPr>
                  <a:defRPr>
                    <a:latin typeface="Arial" pitchFamily="34" charset="0"/>
                    <a:cs typeface="Arial" pitchFamily="34" charset="0"/>
                  </a:defRPr>
                </a:pPr>
                <a:endParaRPr lang="ar-SA"/>
              </a:p>
            </c:txPr>
            <c:showVal val="1"/>
            <c:showCatName val="1"/>
            <c:separator>
</c:separator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Sheet1!$B$1:$D$1</c:f>
              <c:strCache>
                <c:ptCount val="3"/>
                <c:pt idx="0">
                  <c:v>ا    Victim\Clan</c:v>
                </c:pt>
                <c:pt idx="1">
                  <c:v> Crime Port\Clan</c:v>
                </c:pt>
                <c:pt idx="2">
                  <c:v> Insurance</c:v>
                </c:pt>
              </c:strCache>
            </c:strRef>
          </c:cat>
          <c:val>
            <c:numRef>
              <c:f>Sheet1!$B$2:$D$2</c:f>
              <c:numCache>
                <c:formatCode>0.0%</c:formatCode>
                <c:ptCount val="3"/>
                <c:pt idx="0">
                  <c:v>0.86900000000000865</c:v>
                </c:pt>
                <c:pt idx="1">
                  <c:v>7.3000000000000009E-2</c:v>
                </c:pt>
                <c:pt idx="2">
                  <c:v>5.8000000000000003E-2</c:v>
                </c:pt>
              </c:numCache>
            </c:numRef>
          </c:val>
        </c:ser>
        <c:dLbls>
          <c:showVal val="1"/>
        </c:dLbls>
        <c:firstSliceAng val="114"/>
      </c:pieChart>
      <c:spPr>
        <a:noFill/>
        <a:ln w="25400">
          <a:noFill/>
        </a:ln>
      </c:spPr>
    </c:plotArea>
    <c:plotVisOnly val="1"/>
    <c:dispBlanksAs val="zero"/>
  </c:chart>
  <c:spPr>
    <a:noFill/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+mn-cs"/>
        </a:defRPr>
      </a:pPr>
      <a:endParaRPr lang="ar-SA"/>
    </a:p>
  </c:txPr>
  <c:externalData r:id="rId1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34573221624065908"/>
          <c:y val="0.20045148632284318"/>
          <c:w val="0.3147675591107445"/>
          <c:h val="0.64708314079512241"/>
        </c:manualLayout>
      </c:layout>
      <c:pieChart>
        <c:varyColors val="1"/>
        <c:ser>
          <c:idx val="1"/>
          <c:order val="0"/>
          <c:spPr>
            <a:ln>
              <a:solidFill>
                <a:schemeClr val="tx1"/>
              </a:solidFill>
            </a:ln>
          </c:spPr>
          <c:explosion val="13"/>
          <c:dPt>
            <c:idx val="2"/>
            <c:explosion val="10"/>
          </c:dPt>
          <c:dLbls>
            <c:dLbl>
              <c:idx val="0"/>
              <c:layout>
                <c:manualLayout>
                  <c:x val="5.6918874088080704E-3"/>
                  <c:y val="0.1647773572899566"/>
                </c:manualLayout>
              </c:layout>
              <c:showCatName val="1"/>
              <c:showPercent val="1"/>
            </c:dLbl>
            <c:dLbl>
              <c:idx val="1"/>
              <c:layout>
                <c:manualLayout>
                  <c:x val="-0.17187029746281721"/>
                  <c:y val="0"/>
                </c:manualLayout>
              </c:layout>
              <c:showCatName val="1"/>
              <c:showPercent val="1"/>
            </c:dLbl>
            <c:dLbl>
              <c:idx val="2"/>
              <c:layout>
                <c:manualLayout>
                  <c:x val="-0.11553637175561539"/>
                  <c:y val="-1.0383586327106001E-3"/>
                </c:manualLayout>
              </c:layout>
              <c:showCatName val="1"/>
              <c:showPercent val="1"/>
            </c:dLbl>
            <c:dLbl>
              <c:idx val="3"/>
              <c:layout>
                <c:manualLayout>
                  <c:x val="-0.26680644411636045"/>
                  <c:y val="3.7592959828007082E-2"/>
                </c:manualLayout>
              </c:layout>
              <c:dLblPos val="bestFit"/>
              <c:showCatName val="1"/>
              <c:showPercent val="1"/>
            </c:dLbl>
            <c:dLbl>
              <c:idx val="4"/>
              <c:layout>
                <c:manualLayout>
                  <c:x val="-0.1373455271216098"/>
                  <c:y val="-0.12813898075089791"/>
                </c:manualLayout>
              </c:layout>
              <c:showCatName val="1"/>
              <c:showPercent val="1"/>
            </c:dLbl>
            <c:dLbl>
              <c:idx val="5"/>
              <c:layout>
                <c:manualLayout>
                  <c:x val="7.8833556603249533E-2"/>
                  <c:y val="-6.4195749678742031E-2"/>
                </c:manualLayout>
              </c:layout>
              <c:showCatName val="1"/>
              <c:showPercent val="1"/>
            </c:dLbl>
            <c:dLbl>
              <c:idx val="6"/>
              <c:layout>
                <c:manualLayout>
                  <c:x val="0.1776597959553777"/>
                  <c:y val="0.31702142395669564"/>
                </c:manualLayout>
              </c:layout>
              <c:showCatName val="1"/>
              <c:showPercent val="1"/>
            </c:dLbl>
            <c:dLbl>
              <c:idx val="7"/>
              <c:layout>
                <c:manualLayout>
                  <c:x val="3.8275688410516012E-2"/>
                  <c:y val="0.24873964982778027"/>
                </c:manualLayout>
              </c:layout>
              <c:showCatName val="1"/>
              <c:showPercent val="1"/>
            </c:dLbl>
            <c:numFmt formatCode="0.0%" sourceLinked="0"/>
            <c:txPr>
              <a:bodyPr/>
              <a:lstStyle/>
              <a:p>
                <a:pPr>
                  <a:defRPr>
                    <a:latin typeface="Arial" pitchFamily="34" charset="0"/>
                    <a:cs typeface="Arial" pitchFamily="34" charset="0"/>
                  </a:defRPr>
                </a:pPr>
                <a:endParaRPr lang="ar-SA"/>
              </a:p>
            </c:txPr>
            <c:showCatName val="1"/>
            <c:showPercent val="1"/>
            <c:showLeaderLines val="1"/>
          </c:dLbls>
          <c:cat>
            <c:strRef>
              <c:f>Sheet1!$B$1:$H$1</c:f>
              <c:strCache>
                <c:ptCount val="7"/>
                <c:pt idx="0">
                  <c:v>   
 Services  </c:v>
                </c:pt>
                <c:pt idx="1">
                  <c:v>
Public administration and defence </c:v>
                </c:pt>
                <c:pt idx="2">
                  <c:v>
Wholesale and Retail Trade </c:v>
                </c:pt>
                <c:pt idx="3">
                  <c:v>Mining manufacturing,  Water and Electricity  </c:v>
                </c:pt>
                <c:pt idx="4">
                  <c:v>
Construction  </c:v>
                </c:pt>
                <c:pt idx="5">
                  <c:v> 
Transportation and Storage </c:v>
                </c:pt>
                <c:pt idx="6">
                  <c:v>Agriculture and Fishing</c:v>
                </c:pt>
              </c:strCache>
            </c:strRef>
          </c:cat>
          <c:val>
            <c:numRef>
              <c:f>Sheet1!$B$2:$H$2</c:f>
              <c:numCache>
                <c:formatCode>0.0</c:formatCode>
                <c:ptCount val="7"/>
                <c:pt idx="0">
                  <c:v>42.8</c:v>
                </c:pt>
                <c:pt idx="1">
                  <c:v>0.1</c:v>
                </c:pt>
                <c:pt idx="2">
                  <c:v>42.5</c:v>
                </c:pt>
                <c:pt idx="3">
                  <c:v>10.9</c:v>
                </c:pt>
                <c:pt idx="4">
                  <c:v>2.5</c:v>
                </c:pt>
                <c:pt idx="5">
                  <c:v>0.9</c:v>
                </c:pt>
                <c:pt idx="6">
                  <c:v>0.30000000000000032</c:v>
                </c:pt>
              </c:numCache>
            </c:numRef>
          </c:val>
        </c:ser>
        <c:dLbls>
          <c:showVal val="1"/>
        </c:dLbls>
        <c:firstSliceAng val="33"/>
      </c:pieChart>
    </c:plotArea>
    <c:plotVisOnly val="1"/>
    <c:dispBlanksAs val="zero"/>
  </c:chart>
  <c:spPr>
    <a:ln>
      <a:noFill/>
    </a:ln>
  </c:spPr>
  <c:txPr>
    <a:bodyPr/>
    <a:lstStyle/>
    <a:p>
      <a:pPr>
        <a:defRPr sz="800"/>
      </a:pPr>
      <a:endParaRPr lang="ar-SA"/>
    </a:p>
  </c:txPr>
  <c:externalData r:id="rId1"/>
  <c:userShapes r:id="rId2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0.49975</cdr:x>
      <cdr:y>0.49</cdr:y>
    </cdr:from>
    <cdr:to>
      <cdr:x>0.5095</cdr:x>
      <cdr:y>0.543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456221" y="1498187"/>
          <a:ext cx="47921" cy="16204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8AB1458-A131-465F-B80E-3EDA65E40C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614</TotalTime>
  <Pages>12</Pages>
  <Words>2214</Words>
  <Characters>11657</Characters>
  <Application>Microsoft Office Word</Application>
  <DocSecurity>0</DocSecurity>
  <Lines>97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Summary</vt:lpstr>
    </vt:vector>
  </TitlesOfParts>
  <Company>PCBS</Company>
  <LinksUpToDate>false</LinksUpToDate>
  <CharactersWithSpaces>13844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Summary</dc:title>
  <dc:creator>YOUSEF</dc:creator>
  <cp:lastModifiedBy>rsarawan</cp:lastModifiedBy>
  <cp:revision>301</cp:revision>
  <cp:lastPrinted>2016-06-19T09:54:00Z</cp:lastPrinted>
  <dcterms:created xsi:type="dcterms:W3CDTF">2015-05-26T11:24:00Z</dcterms:created>
  <dcterms:modified xsi:type="dcterms:W3CDTF">2017-06-15T09:14:00Z</dcterms:modified>
</cp:coreProperties>
</file>